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B1" w:rsidRDefault="004D1FB1" w:rsidP="004D1FB1">
      <w:pPr>
        <w:pStyle w:val="Heading3"/>
        <w:pBdr>
          <w:top w:val="single" w:sz="4" w:space="1" w:color="auto"/>
        </w:pBdr>
        <w:rPr>
          <w:rFonts w:ascii="Cambria" w:hAnsi="Cambria"/>
          <w:color w:val="auto"/>
          <w:sz w:val="24"/>
          <w:szCs w:val="24"/>
        </w:rPr>
      </w:pPr>
    </w:p>
    <w:p w:rsidR="00480AE2" w:rsidRPr="00480AE2" w:rsidRDefault="00480AE2" w:rsidP="00480AE2">
      <w:pPr>
        <w:pStyle w:val="Heading3"/>
        <w:rPr>
          <w:rFonts w:ascii="Cambria" w:hAnsi="Cambria"/>
          <w:sz w:val="24"/>
          <w:szCs w:val="24"/>
        </w:rPr>
      </w:pPr>
      <w:r w:rsidRPr="00480AE2">
        <w:rPr>
          <w:rFonts w:ascii="Cambria" w:hAnsi="Cambria"/>
          <w:color w:val="auto"/>
          <w:sz w:val="24"/>
          <w:szCs w:val="24"/>
        </w:rPr>
        <w:t xml:space="preserve">Title: </w:t>
      </w:r>
      <w:bookmarkStart w:id="0" w:name="_GoBack"/>
      <w:r w:rsidRPr="00480AE2">
        <w:rPr>
          <w:rFonts w:ascii="Cambria" w:hAnsi="Cambria"/>
          <w:color w:val="auto"/>
          <w:sz w:val="24"/>
          <w:szCs w:val="24"/>
        </w:rPr>
        <w:t>Fish, Wildlife &amp; Biodiversity Conservation</w:t>
      </w:r>
      <w:r>
        <w:rPr>
          <w:rFonts w:ascii="Cambria" w:hAnsi="Cambria"/>
          <w:color w:val="auto"/>
          <w:sz w:val="24"/>
          <w:szCs w:val="24"/>
        </w:rPr>
        <w:t xml:space="preserve"> - </w:t>
      </w:r>
      <w:r w:rsidRPr="00480AE2">
        <w:rPr>
          <w:rFonts w:ascii="Cambria" w:hAnsi="Cambria"/>
          <w:color w:val="auto"/>
          <w:sz w:val="24"/>
          <w:szCs w:val="24"/>
        </w:rPr>
        <w:t>River and Stream Continuity</w:t>
      </w:r>
    </w:p>
    <w:bookmarkEnd w:id="0"/>
    <w:p w:rsidR="00480AE2" w:rsidRPr="00480AE2" w:rsidRDefault="00480AE2" w:rsidP="00480AE2">
      <w:pPr>
        <w:spacing w:before="100" w:beforeAutospacing="1" w:after="100" w:afterAutospacing="1" w:line="312" w:lineRule="auto"/>
        <w:rPr>
          <w:rStyle w:val="Strong"/>
          <w:rFonts w:ascii="Cambria" w:hAnsi="Cambria"/>
        </w:rPr>
      </w:pPr>
      <w:r w:rsidRPr="00480AE2">
        <w:rPr>
          <w:rStyle w:val="Strong"/>
          <w:rFonts w:ascii="Cambria" w:hAnsi="Cambria"/>
        </w:rPr>
        <w:t>Project Leader: Scott Jackson</w:t>
      </w:r>
    </w:p>
    <w:p w:rsidR="004D1FB1" w:rsidRDefault="004D1FB1" w:rsidP="004D1FB1">
      <w:pPr>
        <w:pStyle w:val="Heading2"/>
        <w:spacing w:line="200" w:lineRule="atLeast"/>
        <w:rPr>
          <w:rFonts w:ascii="Cambria" w:hAnsi="Cambria"/>
          <w:color w:val="auto"/>
          <w:sz w:val="24"/>
          <w:szCs w:val="24"/>
          <w:u w:val="single"/>
        </w:rPr>
      </w:pPr>
      <w:r w:rsidRPr="004D1FB1">
        <w:rPr>
          <w:rFonts w:ascii="Cambria" w:hAnsi="Cambria"/>
          <w:color w:val="auto"/>
          <w:sz w:val="24"/>
          <w:szCs w:val="24"/>
          <w:u w:val="single"/>
        </w:rPr>
        <w:t>Project Overview</w:t>
      </w:r>
    </w:p>
    <w:p w:rsidR="00480AE2" w:rsidRPr="00480AE2" w:rsidRDefault="00480AE2" w:rsidP="00480AE2">
      <w:pPr>
        <w:spacing w:before="100" w:beforeAutospacing="1" w:after="100" w:afterAutospacing="1"/>
        <w:rPr>
          <w:rFonts w:ascii="Cambria" w:hAnsi="Cambria"/>
        </w:rPr>
      </w:pPr>
      <w:r w:rsidRPr="00480AE2">
        <w:rPr>
          <w:rFonts w:ascii="Cambria" w:hAnsi="Cambria"/>
        </w:rPr>
        <w:t>Massachusetts is the third most densely populated state in the nation.  The rate of land consumption for residential development is steadily increasing far out of proportion to its population growth. Haphazard growth has impacted water resources, natural resource-based enterprises, open space, wildlife habitat, and community character. Nearly half the state's communities lack professional planning staff, while volunteer boards struggle with increasing levels of responsibility, liability, time demands and public mistrust. The Fish, Wildlife &amp; Biodiversity Conservation Project addresses these concerns through related initiatives that focus on habitat loss and fragmentation, establishing priorities for ecological restoration and mitigating development impacts on wildlife and ecosystems.</w:t>
      </w:r>
    </w:p>
    <w:p w:rsidR="00480AE2" w:rsidRPr="00480AE2" w:rsidRDefault="00480AE2" w:rsidP="00480AE2">
      <w:pPr>
        <w:spacing w:before="100" w:beforeAutospacing="1" w:after="100" w:afterAutospacing="1"/>
        <w:rPr>
          <w:rFonts w:ascii="Cambria" w:hAnsi="Cambria"/>
        </w:rPr>
      </w:pPr>
      <w:r w:rsidRPr="00480AE2">
        <w:rPr>
          <w:rStyle w:val="Strong"/>
          <w:rFonts w:ascii="Cambria" w:hAnsi="Cambria"/>
        </w:rPr>
        <w:t xml:space="preserve">The River &amp; Stream Continuity Project - </w:t>
      </w:r>
      <w:r w:rsidRPr="00480AE2">
        <w:rPr>
          <w:rStyle w:val="Strong"/>
          <w:rFonts w:ascii="Cambria" w:hAnsi="Cambria"/>
          <w:b w:val="0"/>
        </w:rPr>
        <w:t>focuses on</w:t>
      </w:r>
      <w:r w:rsidRPr="00480AE2">
        <w:rPr>
          <w:rStyle w:val="Strong"/>
          <w:rFonts w:ascii="Cambria" w:hAnsi="Cambria"/>
        </w:rPr>
        <w:t xml:space="preserve"> </w:t>
      </w:r>
      <w:r w:rsidRPr="00480AE2">
        <w:rPr>
          <w:rFonts w:ascii="Cambria" w:hAnsi="Cambria"/>
        </w:rPr>
        <w:t>the impact of road-stream crossings (culverts, bridges, fords) on fish and other aquatic organism passage by providing technical guidance and standards, field surveys, and other tools and approaches for setting priorities for culvert upgrade or replacement</w:t>
      </w:r>
    </w:p>
    <w:p w:rsidR="00480AE2" w:rsidRPr="004D1FB1" w:rsidRDefault="00480AE2" w:rsidP="004D1FB1">
      <w:pPr>
        <w:pStyle w:val="Heading2"/>
        <w:spacing w:line="200" w:lineRule="atLeast"/>
        <w:rPr>
          <w:rFonts w:ascii="Cambria" w:hAnsi="Cambria"/>
          <w:color w:val="auto"/>
          <w:sz w:val="24"/>
          <w:szCs w:val="24"/>
          <w:u w:val="single"/>
        </w:rPr>
      </w:pPr>
    </w:p>
    <w:p w:rsidR="004D1FB1" w:rsidRP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Activity Summary</w:t>
      </w:r>
      <w:r>
        <w:rPr>
          <w:rFonts w:ascii="Cambria" w:hAnsi="Cambria"/>
          <w:color w:val="auto"/>
          <w:sz w:val="24"/>
          <w:szCs w:val="24"/>
          <w:u w:val="single"/>
        </w:rPr>
        <w:t xml:space="preserve"> - 2012</w:t>
      </w:r>
    </w:p>
    <w:p w:rsidR="00480AE2" w:rsidRPr="00480AE2" w:rsidRDefault="00480AE2" w:rsidP="00480AE2">
      <w:pPr>
        <w:pStyle w:val="Heading2"/>
        <w:numPr>
          <w:ilvl w:val="0"/>
          <w:numId w:val="1"/>
        </w:numPr>
        <w:rPr>
          <w:rFonts w:ascii="Cambria" w:hAnsi="Cambria"/>
          <w:b w:val="0"/>
          <w:color w:val="auto"/>
          <w:sz w:val="24"/>
          <w:szCs w:val="24"/>
        </w:rPr>
      </w:pPr>
      <w:r w:rsidRPr="00480AE2">
        <w:rPr>
          <w:rFonts w:ascii="Cambria" w:hAnsi="Cambria"/>
          <w:b w:val="0"/>
          <w:color w:val="auto"/>
          <w:sz w:val="24"/>
          <w:szCs w:val="24"/>
        </w:rPr>
        <w:t>Assessment and Prioritization of Road-Stream Crossings in the Housatonic River Watershed (1)</w:t>
      </w:r>
    </w:p>
    <w:p w:rsidR="00480AE2" w:rsidRPr="00480AE2" w:rsidRDefault="00480AE2" w:rsidP="00480AE2">
      <w:pPr>
        <w:pStyle w:val="Heading2"/>
        <w:numPr>
          <w:ilvl w:val="0"/>
          <w:numId w:val="1"/>
        </w:numPr>
        <w:rPr>
          <w:rFonts w:ascii="Cambria" w:hAnsi="Cambria"/>
          <w:b w:val="0"/>
          <w:color w:val="auto"/>
          <w:sz w:val="24"/>
          <w:szCs w:val="24"/>
        </w:rPr>
      </w:pPr>
      <w:r w:rsidRPr="00480AE2">
        <w:rPr>
          <w:rFonts w:ascii="Cambria" w:hAnsi="Cambria"/>
          <w:b w:val="0"/>
          <w:color w:val="auto"/>
          <w:sz w:val="24"/>
          <w:szCs w:val="24"/>
        </w:rPr>
        <w:t>Continue</w:t>
      </w:r>
      <w:r>
        <w:rPr>
          <w:rFonts w:ascii="Cambria" w:hAnsi="Cambria"/>
          <w:b w:val="0"/>
          <w:color w:val="auto"/>
          <w:sz w:val="24"/>
          <w:szCs w:val="24"/>
        </w:rPr>
        <w:t>d</w:t>
      </w:r>
      <w:r w:rsidRPr="00480AE2">
        <w:rPr>
          <w:rFonts w:ascii="Cambria" w:hAnsi="Cambria"/>
          <w:b w:val="0"/>
          <w:color w:val="auto"/>
          <w:sz w:val="24"/>
          <w:szCs w:val="24"/>
        </w:rPr>
        <w:t xml:space="preserve"> development and refinement of crossing standards, assessment protocols</w:t>
      </w:r>
      <w:r>
        <w:rPr>
          <w:rFonts w:ascii="Cambria" w:hAnsi="Cambria"/>
          <w:b w:val="0"/>
          <w:color w:val="auto"/>
          <w:sz w:val="24"/>
          <w:szCs w:val="24"/>
        </w:rPr>
        <w:t xml:space="preserve">, </w:t>
      </w:r>
      <w:r w:rsidRPr="00480AE2">
        <w:rPr>
          <w:rFonts w:ascii="Cambria" w:hAnsi="Cambria"/>
          <w:b w:val="0"/>
          <w:color w:val="auto"/>
          <w:sz w:val="24"/>
          <w:szCs w:val="24"/>
        </w:rPr>
        <w:t>training materials, and scoring algorithm tool (1)</w:t>
      </w:r>
    </w:p>
    <w:p w:rsidR="00480AE2" w:rsidRPr="00480AE2" w:rsidRDefault="00480AE2" w:rsidP="00480AE2">
      <w:pPr>
        <w:pStyle w:val="Heading2"/>
        <w:numPr>
          <w:ilvl w:val="0"/>
          <w:numId w:val="1"/>
        </w:numPr>
        <w:rPr>
          <w:rFonts w:ascii="Cambria" w:hAnsi="Cambria"/>
          <w:b w:val="0"/>
          <w:color w:val="auto"/>
          <w:sz w:val="24"/>
          <w:szCs w:val="24"/>
        </w:rPr>
      </w:pPr>
      <w:r w:rsidRPr="00480AE2">
        <w:rPr>
          <w:rFonts w:ascii="Cambria" w:hAnsi="Cambria"/>
          <w:b w:val="0"/>
          <w:color w:val="auto"/>
          <w:sz w:val="24"/>
          <w:szCs w:val="24"/>
        </w:rPr>
        <w:t xml:space="preserve">Evaluate </w:t>
      </w:r>
      <w:r>
        <w:rPr>
          <w:rFonts w:ascii="Cambria" w:hAnsi="Cambria"/>
          <w:b w:val="0"/>
          <w:color w:val="auto"/>
          <w:sz w:val="24"/>
          <w:szCs w:val="24"/>
        </w:rPr>
        <w:t xml:space="preserve">and analyze </w:t>
      </w:r>
      <w:r w:rsidRPr="00480AE2">
        <w:rPr>
          <w:rFonts w:ascii="Cambria" w:hAnsi="Cambria"/>
          <w:b w:val="0"/>
          <w:color w:val="auto"/>
          <w:sz w:val="24"/>
          <w:szCs w:val="24"/>
        </w:rPr>
        <w:t xml:space="preserve">data collected by volunteers </w:t>
      </w:r>
      <w:r>
        <w:rPr>
          <w:rFonts w:ascii="Cambria" w:hAnsi="Cambria"/>
          <w:b w:val="0"/>
          <w:color w:val="auto"/>
          <w:sz w:val="24"/>
          <w:szCs w:val="24"/>
        </w:rPr>
        <w:t>the Crossings Database</w:t>
      </w:r>
      <w:r w:rsidRPr="00480AE2">
        <w:rPr>
          <w:rFonts w:ascii="Cambria" w:hAnsi="Cambria"/>
          <w:b w:val="0"/>
          <w:color w:val="auto"/>
          <w:sz w:val="24"/>
          <w:szCs w:val="24"/>
        </w:rPr>
        <w:t xml:space="preserve"> (1)</w:t>
      </w:r>
    </w:p>
    <w:p w:rsidR="00480AE2" w:rsidRPr="00480AE2" w:rsidRDefault="00480AE2" w:rsidP="00480AE2">
      <w:pPr>
        <w:pStyle w:val="Heading2"/>
        <w:numPr>
          <w:ilvl w:val="0"/>
          <w:numId w:val="1"/>
        </w:numPr>
        <w:rPr>
          <w:rFonts w:ascii="Cambria" w:hAnsi="Cambria"/>
          <w:b w:val="0"/>
          <w:color w:val="auto"/>
          <w:sz w:val="24"/>
          <w:szCs w:val="24"/>
        </w:rPr>
      </w:pPr>
      <w:r w:rsidRPr="00480AE2">
        <w:rPr>
          <w:rFonts w:ascii="Cambria" w:hAnsi="Cambria"/>
          <w:b w:val="0"/>
          <w:color w:val="auto"/>
          <w:sz w:val="24"/>
          <w:szCs w:val="24"/>
        </w:rPr>
        <w:t xml:space="preserve">Maintain and expand content for the </w:t>
      </w:r>
      <w:hyperlink r:id="rId8" w:history="1">
        <w:r w:rsidRPr="00480AE2">
          <w:rPr>
            <w:rStyle w:val="Hyperlink"/>
            <w:rFonts w:ascii="Cambria" w:hAnsi="Cambria"/>
            <w:b w:val="0"/>
            <w:sz w:val="24"/>
            <w:szCs w:val="24"/>
          </w:rPr>
          <w:t>streamcontinuity.org</w:t>
        </w:r>
      </w:hyperlink>
      <w:r w:rsidRPr="00480AE2">
        <w:rPr>
          <w:rFonts w:ascii="Cambria" w:hAnsi="Cambria"/>
          <w:b w:val="0"/>
          <w:color w:val="auto"/>
          <w:sz w:val="24"/>
          <w:szCs w:val="24"/>
        </w:rPr>
        <w:t xml:space="preserve"> web site (1)</w:t>
      </w:r>
    </w:p>
    <w:p w:rsidR="00480AE2" w:rsidRPr="00480AE2" w:rsidRDefault="00480AE2" w:rsidP="00480AE2">
      <w:pPr>
        <w:pStyle w:val="Heading2"/>
        <w:numPr>
          <w:ilvl w:val="0"/>
          <w:numId w:val="1"/>
        </w:numPr>
        <w:rPr>
          <w:rFonts w:ascii="Cambria" w:hAnsi="Cambria"/>
          <w:b w:val="0"/>
          <w:color w:val="auto"/>
          <w:sz w:val="24"/>
          <w:szCs w:val="24"/>
        </w:rPr>
      </w:pPr>
      <w:r w:rsidRPr="00480AE2">
        <w:rPr>
          <w:rFonts w:ascii="Cambria" w:hAnsi="Cambria"/>
          <w:b w:val="0"/>
          <w:color w:val="auto"/>
          <w:sz w:val="24"/>
          <w:szCs w:val="24"/>
        </w:rPr>
        <w:t>Manage and continue to improve and expand the online Crossings Database for volunteer assessment of road-stream crossings (1)</w:t>
      </w:r>
    </w:p>
    <w:p w:rsidR="00480AE2" w:rsidRPr="00480AE2" w:rsidRDefault="00480AE2" w:rsidP="00480AE2">
      <w:pPr>
        <w:pStyle w:val="Heading2"/>
        <w:numPr>
          <w:ilvl w:val="0"/>
          <w:numId w:val="1"/>
        </w:numPr>
        <w:rPr>
          <w:rFonts w:ascii="Cambria" w:hAnsi="Cambria"/>
          <w:b w:val="0"/>
          <w:color w:val="auto"/>
          <w:sz w:val="24"/>
          <w:szCs w:val="24"/>
        </w:rPr>
      </w:pPr>
      <w:r w:rsidRPr="00480AE2">
        <w:rPr>
          <w:rFonts w:ascii="Cambria" w:hAnsi="Cambria"/>
          <w:b w:val="0"/>
          <w:color w:val="auto"/>
          <w:sz w:val="24"/>
          <w:szCs w:val="24"/>
        </w:rPr>
        <w:t>Service on Graduate Research Committees (1)</w:t>
      </w:r>
    </w:p>
    <w:p w:rsidR="00480AE2" w:rsidRPr="00480AE2" w:rsidRDefault="00480AE2" w:rsidP="00480AE2">
      <w:pPr>
        <w:pStyle w:val="Heading2"/>
        <w:numPr>
          <w:ilvl w:val="0"/>
          <w:numId w:val="1"/>
        </w:numPr>
        <w:rPr>
          <w:rFonts w:ascii="Cambria" w:hAnsi="Cambria"/>
          <w:b w:val="0"/>
          <w:color w:val="auto"/>
          <w:sz w:val="24"/>
          <w:szCs w:val="24"/>
        </w:rPr>
      </w:pPr>
      <w:r w:rsidRPr="00480AE2">
        <w:rPr>
          <w:rFonts w:ascii="Cambria" w:hAnsi="Cambria"/>
          <w:b w:val="0"/>
          <w:color w:val="auto"/>
          <w:sz w:val="24"/>
          <w:szCs w:val="24"/>
        </w:rPr>
        <w:t>Training programs on new regulations and technical issues related to road-stream crossings (13)</w:t>
      </w:r>
    </w:p>
    <w:p w:rsidR="00480AE2" w:rsidRDefault="00480AE2" w:rsidP="00480AE2">
      <w:pPr>
        <w:pStyle w:val="Heading3"/>
        <w:rPr>
          <w:rFonts w:ascii="Cambria" w:hAnsi="Cambria"/>
          <w:i/>
          <w:color w:val="auto"/>
          <w:sz w:val="24"/>
          <w:szCs w:val="24"/>
        </w:rPr>
      </w:pPr>
    </w:p>
    <w:p w:rsidR="00480AE2" w:rsidRDefault="00480AE2" w:rsidP="00480AE2">
      <w:pPr>
        <w:pStyle w:val="Heading3"/>
        <w:rPr>
          <w:rFonts w:ascii="Cambria" w:hAnsi="Cambria"/>
          <w:i/>
          <w:color w:val="auto"/>
          <w:sz w:val="24"/>
          <w:szCs w:val="24"/>
        </w:rPr>
      </w:pPr>
    </w:p>
    <w:p w:rsidR="00480AE2" w:rsidRDefault="00480AE2" w:rsidP="00480AE2">
      <w:pPr>
        <w:pStyle w:val="Heading3"/>
        <w:rPr>
          <w:rFonts w:ascii="Cambria" w:hAnsi="Cambria"/>
          <w:i/>
          <w:color w:val="auto"/>
          <w:sz w:val="24"/>
          <w:szCs w:val="24"/>
        </w:rPr>
      </w:pPr>
    </w:p>
    <w:p w:rsidR="00480AE2" w:rsidRPr="00480AE2" w:rsidRDefault="00480AE2" w:rsidP="00480AE2">
      <w:pPr>
        <w:pStyle w:val="Heading3"/>
        <w:rPr>
          <w:rFonts w:ascii="Cambria" w:hAnsi="Cambria"/>
          <w:i/>
          <w:color w:val="auto"/>
          <w:sz w:val="24"/>
          <w:szCs w:val="24"/>
        </w:rPr>
      </w:pPr>
      <w:r w:rsidRPr="00480AE2">
        <w:rPr>
          <w:rFonts w:ascii="Cambria" w:hAnsi="Cambria"/>
          <w:i/>
          <w:color w:val="auto"/>
          <w:sz w:val="24"/>
          <w:szCs w:val="24"/>
        </w:rPr>
        <w:lastRenderedPageBreak/>
        <w:t xml:space="preserve">Educational contacts </w:t>
      </w:r>
    </w:p>
    <w:p w:rsidR="00480AE2" w:rsidRPr="00480AE2" w:rsidRDefault="00480AE2" w:rsidP="00480AE2">
      <w:pPr>
        <w:pStyle w:val="Heading3"/>
        <w:rPr>
          <w:rFonts w:ascii="Cambria" w:hAnsi="Cambria"/>
          <w:color w:val="auto"/>
          <w:sz w:val="24"/>
          <w:szCs w:val="24"/>
        </w:rPr>
      </w:pPr>
    </w:p>
    <w:tbl>
      <w:tblPr>
        <w:tblW w:w="6138" w:type="dxa"/>
        <w:tblLook w:val="01E0" w:firstRow="1" w:lastRow="1" w:firstColumn="1" w:lastColumn="1" w:noHBand="0" w:noVBand="0"/>
      </w:tblPr>
      <w:tblGrid>
        <w:gridCol w:w="2538"/>
        <w:gridCol w:w="1800"/>
        <w:gridCol w:w="1800"/>
      </w:tblGrid>
      <w:tr w:rsidR="00480AE2" w:rsidRPr="000C7D45" w:rsidTr="00223A50">
        <w:tc>
          <w:tcPr>
            <w:tcW w:w="2538" w:type="dxa"/>
          </w:tcPr>
          <w:p w:rsidR="00480AE2" w:rsidRPr="00480AE2" w:rsidRDefault="00480AE2" w:rsidP="00223A50">
            <w:pPr>
              <w:pStyle w:val="Heading3"/>
              <w:rPr>
                <w:rFonts w:ascii="Cambria" w:hAnsi="Cambria"/>
                <w:b w:val="0"/>
                <w:color w:val="auto"/>
                <w:sz w:val="24"/>
                <w:szCs w:val="24"/>
              </w:rPr>
            </w:pPr>
          </w:p>
        </w:tc>
        <w:tc>
          <w:tcPr>
            <w:tcW w:w="1800" w:type="dxa"/>
          </w:tcPr>
          <w:p w:rsidR="00480AE2" w:rsidRPr="00480AE2" w:rsidRDefault="00480AE2" w:rsidP="00223A50">
            <w:pPr>
              <w:pStyle w:val="Heading3"/>
              <w:rPr>
                <w:rFonts w:ascii="Cambria" w:hAnsi="Cambria"/>
                <w:b w:val="0"/>
                <w:color w:val="auto"/>
                <w:sz w:val="24"/>
                <w:szCs w:val="24"/>
                <w:u w:val="single"/>
              </w:rPr>
            </w:pPr>
            <w:r w:rsidRPr="00480AE2">
              <w:rPr>
                <w:rFonts w:ascii="Cambria" w:hAnsi="Cambria"/>
                <w:b w:val="0"/>
                <w:color w:val="auto"/>
                <w:sz w:val="24"/>
                <w:szCs w:val="24"/>
                <w:u w:val="single"/>
              </w:rPr>
              <w:t>Adult Contacts</w:t>
            </w:r>
          </w:p>
        </w:tc>
        <w:tc>
          <w:tcPr>
            <w:tcW w:w="1800" w:type="dxa"/>
          </w:tcPr>
          <w:p w:rsidR="00480AE2" w:rsidRPr="00480AE2" w:rsidRDefault="00480AE2" w:rsidP="00223A50">
            <w:pPr>
              <w:pStyle w:val="Heading3"/>
              <w:rPr>
                <w:rFonts w:ascii="Cambria" w:hAnsi="Cambria"/>
                <w:b w:val="0"/>
                <w:color w:val="auto"/>
                <w:sz w:val="24"/>
                <w:szCs w:val="24"/>
                <w:u w:val="single"/>
              </w:rPr>
            </w:pPr>
            <w:r w:rsidRPr="00480AE2">
              <w:rPr>
                <w:rFonts w:ascii="Cambria" w:hAnsi="Cambria"/>
                <w:b w:val="0"/>
                <w:color w:val="auto"/>
                <w:sz w:val="24"/>
                <w:szCs w:val="24"/>
                <w:u w:val="single"/>
              </w:rPr>
              <w:t>Youth Contacts</w:t>
            </w:r>
          </w:p>
        </w:tc>
      </w:tr>
      <w:tr w:rsidR="00480AE2" w:rsidRPr="000C7D45" w:rsidTr="00223A50">
        <w:tc>
          <w:tcPr>
            <w:tcW w:w="2538" w:type="dxa"/>
          </w:tcPr>
          <w:p w:rsidR="00480AE2" w:rsidRPr="00480AE2" w:rsidRDefault="00480AE2" w:rsidP="00223A50">
            <w:pPr>
              <w:pStyle w:val="Heading3"/>
              <w:rPr>
                <w:rFonts w:ascii="Cambria" w:hAnsi="Cambria"/>
                <w:b w:val="0"/>
                <w:color w:val="auto"/>
                <w:sz w:val="24"/>
                <w:szCs w:val="24"/>
              </w:rPr>
            </w:pPr>
            <w:r w:rsidRPr="00480AE2">
              <w:rPr>
                <w:rFonts w:ascii="Cambria" w:hAnsi="Cambria"/>
                <w:b w:val="0"/>
                <w:color w:val="auto"/>
                <w:sz w:val="24"/>
                <w:szCs w:val="24"/>
              </w:rPr>
              <w:t>In Person</w:t>
            </w:r>
          </w:p>
        </w:tc>
        <w:tc>
          <w:tcPr>
            <w:tcW w:w="1800" w:type="dxa"/>
          </w:tcPr>
          <w:p w:rsidR="00480AE2" w:rsidRPr="00480AE2" w:rsidRDefault="00480AE2" w:rsidP="00223A50">
            <w:pPr>
              <w:pStyle w:val="Heading3"/>
              <w:rPr>
                <w:rFonts w:ascii="Cambria" w:hAnsi="Cambria"/>
                <w:b w:val="0"/>
                <w:color w:val="auto"/>
                <w:sz w:val="24"/>
                <w:szCs w:val="24"/>
              </w:rPr>
            </w:pPr>
            <w:r w:rsidRPr="00480AE2">
              <w:rPr>
                <w:rFonts w:ascii="Cambria" w:hAnsi="Cambria"/>
                <w:b w:val="0"/>
                <w:color w:val="auto"/>
                <w:sz w:val="24"/>
                <w:szCs w:val="24"/>
              </w:rPr>
              <w:t>257</w:t>
            </w:r>
          </w:p>
        </w:tc>
        <w:tc>
          <w:tcPr>
            <w:tcW w:w="1800" w:type="dxa"/>
          </w:tcPr>
          <w:p w:rsidR="00480AE2" w:rsidRPr="00480AE2" w:rsidRDefault="00480AE2" w:rsidP="00223A50">
            <w:pPr>
              <w:pStyle w:val="Heading3"/>
              <w:rPr>
                <w:rFonts w:ascii="Cambria" w:hAnsi="Cambria"/>
                <w:b w:val="0"/>
                <w:color w:val="auto"/>
                <w:sz w:val="24"/>
                <w:szCs w:val="24"/>
              </w:rPr>
            </w:pPr>
            <w:r w:rsidRPr="00480AE2">
              <w:rPr>
                <w:rFonts w:ascii="Cambria" w:hAnsi="Cambria"/>
                <w:b w:val="0"/>
                <w:color w:val="auto"/>
                <w:sz w:val="24"/>
                <w:szCs w:val="24"/>
              </w:rPr>
              <w:t>0</w:t>
            </w:r>
          </w:p>
        </w:tc>
      </w:tr>
      <w:tr w:rsidR="00480AE2" w:rsidRPr="000C7D45" w:rsidTr="00223A50">
        <w:tc>
          <w:tcPr>
            <w:tcW w:w="2538" w:type="dxa"/>
          </w:tcPr>
          <w:p w:rsidR="00480AE2" w:rsidRPr="00480AE2" w:rsidRDefault="00480AE2" w:rsidP="00223A50">
            <w:pPr>
              <w:pStyle w:val="Heading3"/>
              <w:rPr>
                <w:rFonts w:ascii="Cambria" w:hAnsi="Cambria"/>
                <w:b w:val="0"/>
                <w:color w:val="auto"/>
                <w:sz w:val="24"/>
                <w:szCs w:val="24"/>
              </w:rPr>
            </w:pPr>
            <w:r w:rsidRPr="00480AE2">
              <w:rPr>
                <w:rFonts w:ascii="Cambria" w:hAnsi="Cambria"/>
                <w:b w:val="0"/>
                <w:color w:val="auto"/>
                <w:sz w:val="24"/>
                <w:szCs w:val="24"/>
              </w:rPr>
              <w:t xml:space="preserve">Indirect Contacts (Print, Web, etc…)  </w:t>
            </w:r>
          </w:p>
        </w:tc>
        <w:tc>
          <w:tcPr>
            <w:tcW w:w="1800" w:type="dxa"/>
          </w:tcPr>
          <w:p w:rsidR="00480AE2" w:rsidRPr="00480AE2" w:rsidRDefault="00480AE2" w:rsidP="00223A50">
            <w:pPr>
              <w:pStyle w:val="Heading3"/>
              <w:rPr>
                <w:rFonts w:ascii="Cambria" w:hAnsi="Cambria"/>
                <w:b w:val="0"/>
                <w:color w:val="auto"/>
                <w:sz w:val="24"/>
                <w:szCs w:val="24"/>
              </w:rPr>
            </w:pPr>
            <w:r w:rsidRPr="00480AE2">
              <w:rPr>
                <w:rFonts w:ascii="Cambria" w:hAnsi="Cambria"/>
                <w:b w:val="0"/>
                <w:color w:val="auto"/>
                <w:sz w:val="24"/>
                <w:szCs w:val="24"/>
              </w:rPr>
              <w:t>2</w:t>
            </w:r>
            <w:r>
              <w:rPr>
                <w:rFonts w:ascii="Cambria" w:hAnsi="Cambria"/>
                <w:b w:val="0"/>
                <w:color w:val="auto"/>
                <w:sz w:val="24"/>
                <w:szCs w:val="24"/>
              </w:rPr>
              <w:t>,</w:t>
            </w:r>
            <w:r w:rsidRPr="00480AE2">
              <w:rPr>
                <w:rFonts w:ascii="Cambria" w:hAnsi="Cambria"/>
                <w:b w:val="0"/>
                <w:color w:val="auto"/>
                <w:sz w:val="24"/>
                <w:szCs w:val="24"/>
              </w:rPr>
              <w:t>350</w:t>
            </w:r>
          </w:p>
        </w:tc>
        <w:tc>
          <w:tcPr>
            <w:tcW w:w="1800" w:type="dxa"/>
          </w:tcPr>
          <w:p w:rsidR="00480AE2" w:rsidRPr="00480AE2" w:rsidRDefault="00480AE2" w:rsidP="00223A50">
            <w:pPr>
              <w:pStyle w:val="Heading3"/>
              <w:rPr>
                <w:rFonts w:ascii="Cambria" w:hAnsi="Cambria"/>
                <w:b w:val="0"/>
                <w:color w:val="auto"/>
                <w:sz w:val="24"/>
                <w:szCs w:val="24"/>
              </w:rPr>
            </w:pPr>
            <w:r w:rsidRPr="00480AE2">
              <w:rPr>
                <w:rFonts w:ascii="Cambria" w:hAnsi="Cambria"/>
                <w:b w:val="0"/>
                <w:color w:val="auto"/>
                <w:sz w:val="24"/>
                <w:szCs w:val="24"/>
              </w:rPr>
              <w:t>0</w:t>
            </w:r>
          </w:p>
        </w:tc>
      </w:tr>
    </w:tbl>
    <w:p w:rsidR="004D1FB1" w:rsidRP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Narrative Summary</w:t>
      </w:r>
      <w:r>
        <w:rPr>
          <w:rFonts w:ascii="Cambria" w:hAnsi="Cambria"/>
          <w:color w:val="auto"/>
          <w:sz w:val="24"/>
          <w:szCs w:val="24"/>
          <w:u w:val="single"/>
        </w:rPr>
        <w:t xml:space="preserve"> - 2012</w:t>
      </w:r>
    </w:p>
    <w:p w:rsidR="00480AE2" w:rsidRPr="00480AE2" w:rsidRDefault="00480AE2" w:rsidP="00480AE2">
      <w:pPr>
        <w:pStyle w:val="NormalWeb"/>
        <w:rPr>
          <w:rFonts w:ascii="Cambria" w:hAnsi="Cambria"/>
          <w:sz w:val="24"/>
        </w:rPr>
      </w:pPr>
      <w:r w:rsidRPr="00480AE2">
        <w:rPr>
          <w:rFonts w:ascii="Cambria" w:hAnsi="Cambria"/>
          <w:sz w:val="24"/>
        </w:rPr>
        <w:t>A number of groups are using methods developed as part of the River and Stream Continuity Project to assess bridges and culverts and set priorities for restoring river and stream continuity in targeted watersheds in five of the six New England states. In 2011-2012, 874 additional road-stream crossings were surveyed and entered into the Crossings Database; the Database now contains over 5,500 road-stream crossing assessments.</w:t>
      </w:r>
    </w:p>
    <w:p w:rsidR="00480AE2" w:rsidRPr="00480AE2" w:rsidRDefault="00480AE2" w:rsidP="00480AE2">
      <w:pPr>
        <w:pStyle w:val="NormalWeb"/>
        <w:rPr>
          <w:rFonts w:ascii="Cambria" w:hAnsi="Cambria"/>
          <w:sz w:val="24"/>
        </w:rPr>
      </w:pPr>
      <w:r w:rsidRPr="00480AE2">
        <w:rPr>
          <w:rFonts w:ascii="Cambria" w:hAnsi="Cambria"/>
          <w:sz w:val="24"/>
        </w:rPr>
        <w:t>The M</w:t>
      </w:r>
      <w:r>
        <w:rPr>
          <w:rFonts w:ascii="Cambria" w:hAnsi="Cambria"/>
          <w:sz w:val="24"/>
        </w:rPr>
        <w:t xml:space="preserve">assachusetts </w:t>
      </w:r>
      <w:r w:rsidRPr="00480AE2">
        <w:rPr>
          <w:rFonts w:ascii="Cambria" w:hAnsi="Cambria"/>
          <w:sz w:val="24"/>
        </w:rPr>
        <w:t>D</w:t>
      </w:r>
      <w:r>
        <w:rPr>
          <w:rFonts w:ascii="Cambria" w:hAnsi="Cambria"/>
          <w:sz w:val="24"/>
        </w:rPr>
        <w:t xml:space="preserve">epartment of </w:t>
      </w:r>
      <w:r w:rsidRPr="00480AE2">
        <w:rPr>
          <w:rFonts w:ascii="Cambria" w:hAnsi="Cambria"/>
          <w:sz w:val="24"/>
        </w:rPr>
        <w:t>E</w:t>
      </w:r>
      <w:r>
        <w:rPr>
          <w:rFonts w:ascii="Cambria" w:hAnsi="Cambria"/>
          <w:sz w:val="24"/>
        </w:rPr>
        <w:t xml:space="preserve">nvironmental </w:t>
      </w:r>
      <w:r w:rsidRPr="00480AE2">
        <w:rPr>
          <w:rFonts w:ascii="Cambria" w:hAnsi="Cambria"/>
          <w:sz w:val="24"/>
        </w:rPr>
        <w:t>P</w:t>
      </w:r>
      <w:r>
        <w:rPr>
          <w:rFonts w:ascii="Cambria" w:hAnsi="Cambria"/>
          <w:sz w:val="24"/>
        </w:rPr>
        <w:t>rotection (</w:t>
      </w:r>
      <w:proofErr w:type="spellStart"/>
      <w:r w:rsidRPr="00480AE2">
        <w:rPr>
          <w:rFonts w:ascii="Cambria" w:hAnsi="Cambria"/>
          <w:sz w:val="24"/>
        </w:rPr>
        <w:t>MassDEP</w:t>
      </w:r>
      <w:proofErr w:type="spellEnd"/>
      <w:r>
        <w:rPr>
          <w:rFonts w:ascii="Cambria" w:hAnsi="Cambria"/>
          <w:sz w:val="24"/>
        </w:rPr>
        <w:t xml:space="preserve">) </w:t>
      </w:r>
      <w:r w:rsidRPr="00480AE2">
        <w:rPr>
          <w:rFonts w:ascii="Cambria" w:hAnsi="Cambria"/>
          <w:sz w:val="24"/>
        </w:rPr>
        <w:t>has embraced the project and is committed to assess 600 crossings in 2012. The Massachusetts Environmental Trust (MET) has for a number of years funded local watershed groups to conduct road-stream crossing assessments and this past year put out a special call for proposals to fund assessments in the Taunton River watershed. We expect New Jersey to join the network in 2013.</w:t>
      </w:r>
    </w:p>
    <w:p w:rsidR="00480AE2" w:rsidRPr="00480AE2" w:rsidRDefault="00480AE2" w:rsidP="00480AE2">
      <w:pPr>
        <w:pStyle w:val="NormalWeb"/>
        <w:rPr>
          <w:rFonts w:ascii="Cambria" w:hAnsi="Cambria"/>
          <w:sz w:val="24"/>
        </w:rPr>
      </w:pPr>
      <w:r w:rsidRPr="00480AE2">
        <w:rPr>
          <w:rFonts w:ascii="Cambria" w:hAnsi="Cambria"/>
          <w:sz w:val="24"/>
        </w:rPr>
        <w:t>The M</w:t>
      </w:r>
      <w:r>
        <w:rPr>
          <w:rFonts w:ascii="Cambria" w:hAnsi="Cambria"/>
          <w:sz w:val="24"/>
        </w:rPr>
        <w:t>assachusetts</w:t>
      </w:r>
      <w:r w:rsidRPr="00480AE2">
        <w:rPr>
          <w:rFonts w:ascii="Cambria" w:hAnsi="Cambria"/>
          <w:sz w:val="24"/>
        </w:rPr>
        <w:t xml:space="preserve"> River and Stream Crossing Standards continue to inform policy at both the state and federal level. Multiple references to the Massachusetts River and Stream Crossing Standards and Road-Stream Crossing Assessment protocols were included in the Massachusetts Department of Transportation’s handbook “Design of Bridges and Culverts for Wildlife Passages at Freshwater Streams.” The Standards are referenced in the U.S. Army Corps of Engineers Programmatic General Permit (PGP) for Massachusetts and similar references have been included in drafts of the New England Regional General Permit currently under development. New crossings of rivers and streams must meet these standards in order to qualify for non-reporting status under the General Permit. </w:t>
      </w:r>
      <w:proofErr w:type="spellStart"/>
      <w:r w:rsidRPr="00480AE2">
        <w:rPr>
          <w:rFonts w:ascii="Cambria" w:hAnsi="Cambria"/>
          <w:sz w:val="24"/>
        </w:rPr>
        <w:t>MassDEP</w:t>
      </w:r>
      <w:proofErr w:type="spellEnd"/>
      <w:r w:rsidRPr="00480AE2">
        <w:rPr>
          <w:rFonts w:ascii="Cambria" w:hAnsi="Cambria"/>
          <w:sz w:val="24"/>
        </w:rPr>
        <w:t xml:space="preserve"> has indicated that it intends to make direct reference to the Crossing Standards when it revises its wetland regulations in 2013.</w:t>
      </w:r>
    </w:p>
    <w:p w:rsidR="00480AE2" w:rsidRPr="00480AE2" w:rsidRDefault="00480AE2" w:rsidP="00480AE2">
      <w:pPr>
        <w:pStyle w:val="Heading3"/>
        <w:spacing w:line="312" w:lineRule="auto"/>
        <w:rPr>
          <w:rFonts w:ascii="Cambria" w:hAnsi="Cambria"/>
          <w:color w:val="auto"/>
          <w:sz w:val="24"/>
          <w:szCs w:val="24"/>
          <w:u w:val="single"/>
        </w:rPr>
      </w:pPr>
      <w:r w:rsidRPr="00480AE2">
        <w:rPr>
          <w:rFonts w:ascii="Cambria" w:hAnsi="Cambria"/>
          <w:color w:val="auto"/>
          <w:sz w:val="24"/>
          <w:szCs w:val="24"/>
          <w:u w:val="single"/>
        </w:rPr>
        <w:t xml:space="preserve"> Collaborating Organizations </w:t>
      </w:r>
    </w:p>
    <w:p w:rsidR="00480AE2" w:rsidRPr="00480AE2" w:rsidRDefault="00480AE2" w:rsidP="00480AE2">
      <w:pPr>
        <w:pStyle w:val="Heading3"/>
        <w:numPr>
          <w:ilvl w:val="0"/>
          <w:numId w:val="3"/>
        </w:numPr>
        <w:rPr>
          <w:rFonts w:ascii="Cambria" w:hAnsi="Cambria"/>
          <w:b w:val="0"/>
          <w:color w:val="000000"/>
          <w:sz w:val="24"/>
          <w:szCs w:val="24"/>
          <w:shd w:val="clear" w:color="auto" w:fill="FFFFFF"/>
        </w:rPr>
      </w:pPr>
      <w:r w:rsidRPr="00480AE2">
        <w:rPr>
          <w:rFonts w:ascii="Cambria" w:hAnsi="Cambria"/>
          <w:b w:val="0"/>
          <w:color w:val="000000"/>
          <w:sz w:val="24"/>
          <w:szCs w:val="24"/>
          <w:shd w:val="clear" w:color="auto" w:fill="FFFFFF"/>
        </w:rPr>
        <w:t xml:space="preserve">Massachusetts Department of Environmental Protection </w:t>
      </w:r>
      <w:r w:rsidRPr="00480AE2">
        <w:rPr>
          <w:rFonts w:ascii="Cambria" w:hAnsi="Cambria"/>
          <w:b w:val="0"/>
          <w:color w:val="000000"/>
          <w:sz w:val="24"/>
          <w:szCs w:val="24"/>
          <w:shd w:val="clear" w:color="auto" w:fill="FFFFFF"/>
        </w:rPr>
        <w:tab/>
      </w:r>
    </w:p>
    <w:p w:rsidR="00480AE2" w:rsidRPr="00480AE2" w:rsidRDefault="00480AE2" w:rsidP="00480AE2">
      <w:pPr>
        <w:pStyle w:val="Heading3"/>
        <w:numPr>
          <w:ilvl w:val="0"/>
          <w:numId w:val="3"/>
        </w:numPr>
        <w:rPr>
          <w:rFonts w:ascii="Cambria" w:hAnsi="Cambria"/>
          <w:b w:val="0"/>
          <w:color w:val="000000"/>
          <w:sz w:val="24"/>
          <w:szCs w:val="24"/>
          <w:shd w:val="clear" w:color="auto" w:fill="FFFFFF"/>
        </w:rPr>
      </w:pPr>
      <w:r w:rsidRPr="00480AE2">
        <w:rPr>
          <w:rFonts w:ascii="Cambria" w:hAnsi="Cambria"/>
          <w:b w:val="0"/>
          <w:color w:val="000000"/>
          <w:sz w:val="24"/>
          <w:szCs w:val="24"/>
          <w:shd w:val="clear" w:color="auto" w:fill="FFFFFF"/>
        </w:rPr>
        <w:t xml:space="preserve">Massachusetts Division of Fish and Game </w:t>
      </w:r>
      <w:r w:rsidRPr="00480AE2">
        <w:rPr>
          <w:rFonts w:ascii="Cambria" w:hAnsi="Cambria"/>
          <w:b w:val="0"/>
          <w:color w:val="000000"/>
          <w:sz w:val="24"/>
          <w:szCs w:val="24"/>
          <w:shd w:val="clear" w:color="auto" w:fill="FFFFFF"/>
        </w:rPr>
        <w:tab/>
      </w:r>
    </w:p>
    <w:p w:rsidR="00480AE2" w:rsidRPr="00480AE2" w:rsidRDefault="00480AE2" w:rsidP="00480AE2">
      <w:pPr>
        <w:pStyle w:val="Heading3"/>
        <w:numPr>
          <w:ilvl w:val="0"/>
          <w:numId w:val="3"/>
        </w:numPr>
        <w:rPr>
          <w:rFonts w:ascii="Cambria" w:hAnsi="Cambria"/>
          <w:b w:val="0"/>
          <w:color w:val="000000"/>
          <w:sz w:val="24"/>
          <w:szCs w:val="24"/>
          <w:shd w:val="clear" w:color="auto" w:fill="FFFFFF"/>
        </w:rPr>
      </w:pPr>
      <w:r w:rsidRPr="00480AE2">
        <w:rPr>
          <w:rFonts w:ascii="Cambria" w:hAnsi="Cambria"/>
          <w:b w:val="0"/>
          <w:color w:val="000000"/>
          <w:sz w:val="24"/>
          <w:szCs w:val="24"/>
          <w:shd w:val="clear" w:color="auto" w:fill="FFFFFF"/>
        </w:rPr>
        <w:t xml:space="preserve">Massachusetts Highway Department </w:t>
      </w:r>
      <w:r w:rsidRPr="00480AE2">
        <w:rPr>
          <w:rFonts w:ascii="Cambria" w:hAnsi="Cambria"/>
          <w:b w:val="0"/>
          <w:color w:val="000000"/>
          <w:sz w:val="24"/>
          <w:szCs w:val="24"/>
          <w:shd w:val="clear" w:color="auto" w:fill="FFFFFF"/>
        </w:rPr>
        <w:tab/>
      </w:r>
    </w:p>
    <w:p w:rsidR="00480AE2" w:rsidRPr="00480AE2" w:rsidRDefault="00480AE2" w:rsidP="00480AE2">
      <w:pPr>
        <w:pStyle w:val="Heading3"/>
        <w:numPr>
          <w:ilvl w:val="0"/>
          <w:numId w:val="3"/>
        </w:numPr>
        <w:rPr>
          <w:rFonts w:ascii="Cambria" w:hAnsi="Cambria"/>
          <w:b w:val="0"/>
          <w:color w:val="000000"/>
          <w:sz w:val="24"/>
          <w:szCs w:val="24"/>
          <w:shd w:val="clear" w:color="auto" w:fill="FFFFFF"/>
        </w:rPr>
      </w:pPr>
      <w:r w:rsidRPr="00480AE2">
        <w:rPr>
          <w:rFonts w:ascii="Cambria" w:hAnsi="Cambria"/>
          <w:b w:val="0"/>
          <w:color w:val="000000"/>
          <w:sz w:val="24"/>
          <w:szCs w:val="24"/>
          <w:shd w:val="clear" w:color="auto" w:fill="FFFFFF"/>
        </w:rPr>
        <w:t xml:space="preserve">The Nature Conservancy </w:t>
      </w:r>
      <w:r w:rsidRPr="00480AE2">
        <w:rPr>
          <w:rFonts w:ascii="Cambria" w:hAnsi="Cambria"/>
          <w:b w:val="0"/>
          <w:color w:val="000000"/>
          <w:sz w:val="24"/>
          <w:szCs w:val="24"/>
          <w:shd w:val="clear" w:color="auto" w:fill="FFFFFF"/>
        </w:rPr>
        <w:tab/>
      </w:r>
    </w:p>
    <w:p w:rsidR="00480AE2" w:rsidRPr="00480AE2" w:rsidRDefault="00480AE2" w:rsidP="00480AE2">
      <w:pPr>
        <w:pStyle w:val="Heading3"/>
        <w:numPr>
          <w:ilvl w:val="0"/>
          <w:numId w:val="3"/>
        </w:numPr>
        <w:rPr>
          <w:rFonts w:ascii="Cambria" w:hAnsi="Cambria"/>
          <w:b w:val="0"/>
          <w:color w:val="auto"/>
          <w:sz w:val="24"/>
          <w:szCs w:val="24"/>
          <w:u w:val="single"/>
        </w:rPr>
      </w:pPr>
      <w:r w:rsidRPr="00480AE2">
        <w:rPr>
          <w:rFonts w:ascii="Cambria" w:hAnsi="Cambria"/>
          <w:b w:val="0"/>
          <w:color w:val="000000"/>
          <w:sz w:val="24"/>
          <w:szCs w:val="24"/>
          <w:shd w:val="clear" w:color="auto" w:fill="FFFFFF"/>
        </w:rPr>
        <w:t>United States Environmental Protection Agency</w:t>
      </w:r>
    </w:p>
    <w:p w:rsidR="00A1676A" w:rsidRDefault="00A1676A" w:rsidP="00A1676A">
      <w:pPr>
        <w:tabs>
          <w:tab w:val="left" w:pos="90"/>
        </w:tabs>
        <w:ind w:left="180"/>
      </w:pPr>
    </w:p>
    <w:p w:rsidR="00A1676A" w:rsidRPr="00E86676" w:rsidRDefault="00A1676A" w:rsidP="00A1676A">
      <w:pPr>
        <w:ind w:left="180"/>
      </w:pPr>
    </w:p>
    <w:sectPr w:rsidR="00A1676A" w:rsidRPr="00E86676" w:rsidSect="00A1676A">
      <w:headerReference w:type="first" r:id="rId9"/>
      <w:footerReference w:type="first" r:id="rId10"/>
      <w:pgSz w:w="12240" w:h="15840" w:code="1"/>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E2" w:rsidRDefault="00480AE2">
      <w:r>
        <w:separator/>
      </w:r>
    </w:p>
  </w:endnote>
  <w:endnote w:type="continuationSeparator" w:id="0">
    <w:p w:rsidR="00480AE2" w:rsidRDefault="0048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LT Std">
    <w:panose1 w:val="00000000000000000000"/>
    <w:charset w:val="00"/>
    <w:family w:val="auto"/>
    <w:notTrueType/>
    <w:pitch w:val="variable"/>
    <w:sig w:usb0="00000003" w:usb1="00000000" w:usb2="00000000" w:usb3="00000000" w:csb0="00000001" w:csb1="00000000"/>
  </w:font>
  <w:font w:name="Sabo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pStyle w:val="Footer"/>
      <w:jc w:val="center"/>
      <w:rPr>
        <w:rFonts w:ascii="Sabon" w:hAnsi="Sabon"/>
        <w:sz w:val="14"/>
      </w:rPr>
    </w:pPr>
  </w:p>
  <w:p w:rsidR="00A1676A" w:rsidRPr="0052214E" w:rsidRDefault="00A1676A" w:rsidP="00A1676A">
    <w:pPr>
      <w:pStyle w:val="Footer"/>
      <w:jc w:val="center"/>
      <w:rPr>
        <w:rFonts w:ascii="Sabon" w:hAnsi="Sabon"/>
        <w:sz w:val="14"/>
        <w:szCs w:val="14"/>
      </w:rPr>
    </w:pPr>
    <w:r>
      <w:rPr>
        <w:rFonts w:ascii="Sabon" w:hAnsi="Sabon"/>
        <w:sz w:val="14"/>
      </w:rPr>
      <w:t>The Center for Agriculture</w:t>
    </w:r>
    <w:r w:rsidRPr="0052214E">
      <w:rPr>
        <w:rFonts w:ascii="Sabon" w:hAnsi="Sabon"/>
        <w:sz w:val="14"/>
      </w:rPr>
      <w:t xml:space="preserve"> is an equal opportunity provider and employer, United States Department of Agriculture cooperating</w:t>
    </w:r>
  </w:p>
  <w:p w:rsidR="00A1676A" w:rsidRDefault="00A1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E2" w:rsidRDefault="00480AE2">
      <w:r>
        <w:separator/>
      </w:r>
    </w:p>
  </w:footnote>
  <w:footnote w:type="continuationSeparator" w:id="0">
    <w:p w:rsidR="00480AE2" w:rsidRDefault="00480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rPr>
        <w:rFonts w:ascii="Sabon LT Std" w:hAnsi="Sabon LT Std"/>
        <w:sz w:val="18"/>
      </w:rPr>
    </w:pPr>
  </w:p>
  <w:p w:rsidR="00A1676A" w:rsidRDefault="00480AE2" w:rsidP="00A1676A">
    <w:pPr>
      <w:rPr>
        <w:rFonts w:ascii="Sabon LT Std" w:hAnsi="Sabon LT Std"/>
        <w:sz w:val="18"/>
      </w:rPr>
    </w:pPr>
    <w:r>
      <w:rPr>
        <w:noProof/>
      </w:rPr>
      <w:pict>
        <v:shapetype id="_x0000_t202" coordsize="21600,21600" o:spt="202" path="m,l,21600r21600,l21600,xe">
          <v:stroke joinstyle="miter"/>
          <v:path gradientshapeok="t" o:connecttype="rect"/>
        </v:shapetype>
        <v:shape id="_x0000_s2056" type="#_x0000_t202" style="position:absolute;margin-left:-1pt;margin-top:3.2pt;width:190.7pt;height:81.6pt;z-index:251657728" filled="f" stroked="f">
          <v:fill o:detectmouseclick="t"/>
          <v:textbox style="mso-next-textbox:#_x0000_s2056" inset=",7.2pt,,7.2pt">
            <w:txbxContent>
              <w:p w:rsidR="00A1676A" w:rsidRDefault="00480AE2">
                <w:r>
                  <w:rPr>
                    <w:rFonts w:ascii="Sabon LT Std" w:hAnsi="Sabon LT Std"/>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64.5pt">
                      <v:imagedata r:id="rId1" o:title="CFA_logo_A_2c"/>
                    </v:shape>
                  </w:pict>
                </w:r>
              </w:p>
            </w:txbxContent>
          </v:textbox>
          <w10:wrap type="square"/>
        </v:shape>
      </w:pict>
    </w:r>
  </w:p>
  <w:p w:rsidR="00A1676A" w:rsidRDefault="00A1676A" w:rsidP="00A1676A">
    <w:pPr>
      <w:ind w:left="7920"/>
      <w:rPr>
        <w:rFonts w:ascii="Sabon LT Std" w:hAnsi="Sabon LT Std"/>
        <w:sz w:val="18"/>
      </w:rPr>
    </w:pPr>
    <w:r>
      <w:rPr>
        <w:rFonts w:ascii="Sabon LT Std" w:hAnsi="Sabon LT Std"/>
        <w:sz w:val="18"/>
      </w:rPr>
      <w:t>Stockbridge Hall</w:t>
    </w:r>
  </w:p>
  <w:p w:rsidR="00A1676A" w:rsidRDefault="00A1676A" w:rsidP="00A1676A">
    <w:pPr>
      <w:ind w:left="7920"/>
      <w:rPr>
        <w:rFonts w:ascii="Sabon LT Std" w:hAnsi="Sabon LT Std"/>
        <w:sz w:val="18"/>
      </w:rPr>
    </w:pPr>
    <w:r>
      <w:rPr>
        <w:rFonts w:ascii="Sabon LT Std" w:hAnsi="Sabon LT Std"/>
        <w:sz w:val="18"/>
      </w:rPr>
      <w:t>University of Massachusetts</w:t>
    </w:r>
  </w:p>
  <w:p w:rsidR="00A1676A" w:rsidRPr="00AC7EF5" w:rsidRDefault="00A1676A" w:rsidP="00A1676A">
    <w:pPr>
      <w:ind w:left="7920"/>
      <w:rPr>
        <w:rFonts w:ascii="Sabon LT Std" w:hAnsi="Sabon LT Std"/>
        <w:sz w:val="18"/>
      </w:rPr>
    </w:pPr>
    <w:r>
      <w:rPr>
        <w:rFonts w:ascii="Sabon LT Std" w:hAnsi="Sabon LT Std"/>
        <w:sz w:val="18"/>
      </w:rPr>
      <w:t>80 Campus Center Way</w:t>
    </w:r>
  </w:p>
  <w:p w:rsidR="00A1676A" w:rsidRDefault="00A1676A" w:rsidP="00A1676A">
    <w:pPr>
      <w:ind w:left="7920"/>
      <w:rPr>
        <w:rFonts w:ascii="Sabon LT Std" w:hAnsi="Sabon LT Std"/>
        <w:sz w:val="18"/>
      </w:rPr>
    </w:pPr>
    <w:r>
      <w:rPr>
        <w:rFonts w:ascii="Sabon LT Std" w:hAnsi="Sabon LT Std"/>
        <w:sz w:val="18"/>
      </w:rPr>
      <w:t>Amherst</w:t>
    </w:r>
    <w:r w:rsidRPr="00F63DE0">
      <w:rPr>
        <w:rFonts w:ascii="Sabon LT Std" w:hAnsi="Sabon LT Std"/>
        <w:sz w:val="18"/>
      </w:rPr>
      <w:t xml:space="preserve">, MA </w:t>
    </w:r>
    <w:r>
      <w:rPr>
        <w:rFonts w:ascii="Sabon LT Std" w:hAnsi="Sabon LT Std"/>
        <w:sz w:val="18"/>
      </w:rPr>
      <w:t>01003-9246</w:t>
    </w:r>
  </w:p>
  <w:p w:rsidR="00A1676A" w:rsidRPr="00AC7EF5" w:rsidRDefault="00A1676A" w:rsidP="00A1676A">
    <w:pPr>
      <w:ind w:left="7920"/>
      <w:rPr>
        <w:rFonts w:ascii="Sabon LT Std" w:hAnsi="Sabon LT Std"/>
        <w:sz w:val="18"/>
      </w:rPr>
    </w:pPr>
    <w:r w:rsidRPr="00AC7EF5">
      <w:rPr>
        <w:rFonts w:ascii="Sabon LT Std" w:hAnsi="Sabon LT Std"/>
        <w:sz w:val="18"/>
      </w:rPr>
      <w:t xml:space="preserve">Phone: </w:t>
    </w:r>
    <w:r>
      <w:rPr>
        <w:rFonts w:ascii="Sabon LT Std" w:hAnsi="Sabon LT Std"/>
        <w:sz w:val="18"/>
      </w:rPr>
      <w:t>413.545.4204</w:t>
    </w:r>
  </w:p>
  <w:p w:rsidR="00A1676A" w:rsidRPr="00AC7EF5" w:rsidRDefault="00A1676A" w:rsidP="00A1676A">
    <w:pPr>
      <w:ind w:left="7920"/>
      <w:rPr>
        <w:rFonts w:ascii="Sabon LT Std" w:hAnsi="Sabon LT Std"/>
        <w:sz w:val="18"/>
      </w:rPr>
    </w:pPr>
    <w:r w:rsidRPr="00AC7EF5">
      <w:rPr>
        <w:rFonts w:ascii="Sabon LT Std" w:hAnsi="Sabon LT Std"/>
        <w:sz w:val="18"/>
      </w:rPr>
      <w:t xml:space="preserve">Fax: </w:t>
    </w:r>
    <w:r>
      <w:rPr>
        <w:rFonts w:ascii="Sabon LT Std" w:hAnsi="Sabon LT Std"/>
        <w:sz w:val="18"/>
      </w:rPr>
      <w:t>413.577.0242</w:t>
    </w:r>
  </w:p>
  <w:p w:rsidR="00A1676A" w:rsidRDefault="00A1676A" w:rsidP="00A1676A">
    <w:pPr>
      <w:ind w:left="7920"/>
      <w:rPr>
        <w:rFonts w:ascii="Sabon" w:hAnsi="Sabon"/>
        <w:sz w:val="18"/>
      </w:rPr>
    </w:pPr>
    <w:r w:rsidRPr="00630083">
      <w:rPr>
        <w:rFonts w:ascii="Sabon" w:hAnsi="Sabon"/>
        <w:sz w:val="18"/>
      </w:rPr>
      <w:t>www.</w:t>
    </w:r>
    <w:r>
      <w:rPr>
        <w:rFonts w:ascii="Sabon" w:hAnsi="Sabon"/>
        <w:sz w:val="18"/>
      </w:rPr>
      <w:t>ag.umass.edu</w:t>
    </w:r>
  </w:p>
  <w:p w:rsidR="00A1676A" w:rsidRPr="00F63DE0" w:rsidRDefault="00A1676A" w:rsidP="00A1676A">
    <w:pPr>
      <w:ind w:left="6840"/>
      <w:rPr>
        <w:rFonts w:ascii="Sabon LT Std" w:hAnsi="Sabon LT Std"/>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AA6"/>
    <w:multiLevelType w:val="hybridMultilevel"/>
    <w:tmpl w:val="07D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D92F6F"/>
    <w:multiLevelType w:val="hybridMultilevel"/>
    <w:tmpl w:val="DB669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FC6BE0"/>
    <w:multiLevelType w:val="hybridMultilevel"/>
    <w:tmpl w:val="352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AE2"/>
    <w:rsid w:val="00075160"/>
    <w:rsid w:val="000834C9"/>
    <w:rsid w:val="001C0F11"/>
    <w:rsid w:val="00357B75"/>
    <w:rsid w:val="003C7469"/>
    <w:rsid w:val="00480AE2"/>
    <w:rsid w:val="004D1FB1"/>
    <w:rsid w:val="00600AB9"/>
    <w:rsid w:val="0061437F"/>
    <w:rsid w:val="00696DAB"/>
    <w:rsid w:val="00907874"/>
    <w:rsid w:val="00921064"/>
    <w:rsid w:val="00A1676A"/>
    <w:rsid w:val="00A60217"/>
    <w:rsid w:val="00AC4234"/>
    <w:rsid w:val="00B1455D"/>
    <w:rsid w:val="00B2111B"/>
    <w:rsid w:val="00DD5201"/>
    <w:rsid w:val="00E806F3"/>
    <w:rsid w:val="00F1624C"/>
    <w:rsid w:val="00FA452B"/>
    <w:rsid w:val="00FF6F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link w:val="Heading2Char"/>
    <w:qFormat/>
    <w:rsid w:val="004D1FB1"/>
    <w:pPr>
      <w:spacing w:before="100" w:beforeAutospacing="1" w:after="100" w:afterAutospacing="1" w:line="288" w:lineRule="atLeast"/>
      <w:outlineLvl w:val="1"/>
    </w:pPr>
    <w:rPr>
      <w:rFonts w:ascii="Arial" w:hAnsi="Arial" w:cs="Arial"/>
      <w:b/>
      <w:bCs/>
      <w:color w:val="650000"/>
      <w:sz w:val="34"/>
      <w:szCs w:val="34"/>
    </w:rPr>
  </w:style>
  <w:style w:type="paragraph" w:styleId="Heading3">
    <w:name w:val="heading 3"/>
    <w:basedOn w:val="Normal"/>
    <w:link w:val="Heading3Char"/>
    <w:qFormat/>
    <w:rsid w:val="004D1FB1"/>
    <w:pPr>
      <w:outlineLvl w:val="2"/>
    </w:pPr>
    <w:rPr>
      <w:rFonts w:ascii="Arial" w:hAnsi="Arial" w:cs="Arial"/>
      <w:b/>
      <w:bCs/>
      <w:color w:val="65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676"/>
    <w:pPr>
      <w:tabs>
        <w:tab w:val="center" w:pos="4320"/>
        <w:tab w:val="right" w:pos="8640"/>
      </w:tabs>
    </w:pPr>
  </w:style>
  <w:style w:type="paragraph" w:styleId="Footer">
    <w:name w:val="footer"/>
    <w:basedOn w:val="Normal"/>
    <w:link w:val="FooterChar"/>
    <w:rsid w:val="00E86676"/>
    <w:pPr>
      <w:tabs>
        <w:tab w:val="center" w:pos="4320"/>
        <w:tab w:val="right" w:pos="8640"/>
      </w:tabs>
    </w:pPr>
  </w:style>
  <w:style w:type="character" w:styleId="Hyperlink">
    <w:name w:val="Hyperlink"/>
    <w:rsid w:val="00F63DE0"/>
    <w:rPr>
      <w:color w:val="0000FF"/>
      <w:u w:val="single"/>
    </w:rPr>
  </w:style>
  <w:style w:type="character" w:customStyle="1" w:styleId="FooterChar">
    <w:name w:val="Footer Char"/>
    <w:link w:val="Footer"/>
    <w:rsid w:val="00533D8D"/>
    <w:rPr>
      <w:sz w:val="24"/>
      <w:szCs w:val="24"/>
    </w:rPr>
  </w:style>
  <w:style w:type="character" w:customStyle="1" w:styleId="Heading2Char">
    <w:name w:val="Heading 2 Char"/>
    <w:link w:val="Heading2"/>
    <w:rsid w:val="004D1FB1"/>
    <w:rPr>
      <w:rFonts w:ascii="Arial" w:hAnsi="Arial" w:cs="Arial"/>
      <w:b/>
      <w:bCs/>
      <w:color w:val="650000"/>
      <w:sz w:val="34"/>
      <w:szCs w:val="34"/>
    </w:rPr>
  </w:style>
  <w:style w:type="character" w:customStyle="1" w:styleId="Heading3Char">
    <w:name w:val="Heading 3 Char"/>
    <w:link w:val="Heading3"/>
    <w:rsid w:val="004D1FB1"/>
    <w:rPr>
      <w:rFonts w:ascii="Arial" w:hAnsi="Arial" w:cs="Arial"/>
      <w:b/>
      <w:bCs/>
      <w:color w:val="650000"/>
      <w:sz w:val="29"/>
      <w:szCs w:val="29"/>
    </w:rPr>
  </w:style>
  <w:style w:type="character" w:styleId="Strong">
    <w:name w:val="Strong"/>
    <w:uiPriority w:val="22"/>
    <w:qFormat/>
    <w:rsid w:val="004D1FB1"/>
    <w:rPr>
      <w:b/>
      <w:bCs/>
    </w:rPr>
  </w:style>
  <w:style w:type="paragraph" w:styleId="NormalWeb">
    <w:name w:val="Normal (Web)"/>
    <w:basedOn w:val="Normal"/>
    <w:uiPriority w:val="99"/>
    <w:rsid w:val="00480AE2"/>
    <w:pPr>
      <w:spacing w:before="100" w:beforeAutospacing="1" w:after="100" w:afterAutospacing="1"/>
    </w:pPr>
    <w:rPr>
      <w:rFonts w:ascii="Verdana" w:hAnsi="Verdana"/>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eamcontinuit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xtension\PLANNING%20&amp;%20REPORTING\PRiSM\FY%2012%20Reports\Final\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5</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MA 01003</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Miller</dc:creator>
  <cp:lastModifiedBy>William Miller</cp:lastModifiedBy>
  <cp:revision>1</cp:revision>
  <cp:lastPrinted>2010-05-26T22:29:00Z</cp:lastPrinted>
  <dcterms:created xsi:type="dcterms:W3CDTF">2013-02-25T20:34:00Z</dcterms:created>
  <dcterms:modified xsi:type="dcterms:W3CDTF">2013-02-25T20:39:00Z</dcterms:modified>
</cp:coreProperties>
</file>