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FB1" w:rsidRDefault="004D1FB1" w:rsidP="004D1FB1">
      <w:pPr>
        <w:pStyle w:val="Heading3"/>
        <w:pBdr>
          <w:top w:val="single" w:sz="4" w:space="1" w:color="auto"/>
        </w:pBdr>
        <w:rPr>
          <w:rFonts w:ascii="Cambria" w:hAnsi="Cambria"/>
          <w:color w:val="auto"/>
          <w:sz w:val="24"/>
          <w:szCs w:val="24"/>
        </w:rPr>
      </w:pPr>
    </w:p>
    <w:p w:rsidR="00A045B6" w:rsidRDefault="00A045B6" w:rsidP="00A045B6">
      <w:pPr>
        <w:pStyle w:val="Heading3"/>
        <w:rPr>
          <w:rFonts w:ascii="Cambria" w:hAnsi="Cambria"/>
          <w:b w:val="0"/>
          <w:color w:val="auto"/>
          <w:sz w:val="24"/>
          <w:szCs w:val="24"/>
        </w:rPr>
      </w:pPr>
      <w:r w:rsidRPr="00A045B6">
        <w:rPr>
          <w:rFonts w:ascii="Cambria" w:hAnsi="Cambria"/>
          <w:color w:val="auto"/>
          <w:sz w:val="24"/>
          <w:szCs w:val="24"/>
        </w:rPr>
        <w:t xml:space="preserve">Title:  </w:t>
      </w:r>
      <w:r w:rsidRPr="00A045B6">
        <w:rPr>
          <w:rFonts w:ascii="Cambria" w:hAnsi="Cambria"/>
          <w:b w:val="0"/>
          <w:color w:val="auto"/>
          <w:sz w:val="24"/>
          <w:szCs w:val="24"/>
        </w:rPr>
        <w:t>Sustainable Cranberry Production</w:t>
      </w:r>
    </w:p>
    <w:p w:rsidR="00A045B6" w:rsidRPr="00A045B6" w:rsidRDefault="00A045B6" w:rsidP="00A045B6">
      <w:pPr>
        <w:pStyle w:val="Heading3"/>
        <w:rPr>
          <w:rFonts w:ascii="Cambria" w:hAnsi="Cambria"/>
          <w:color w:val="auto"/>
          <w:sz w:val="24"/>
          <w:szCs w:val="24"/>
        </w:rPr>
      </w:pPr>
    </w:p>
    <w:p w:rsidR="00A045B6" w:rsidRPr="00A045B6" w:rsidRDefault="00A045B6" w:rsidP="00A045B6">
      <w:pPr>
        <w:pStyle w:val="Heading2"/>
        <w:spacing w:before="0" w:beforeAutospacing="0"/>
        <w:rPr>
          <w:rFonts w:ascii="Cambria" w:hAnsi="Cambria"/>
          <w:b w:val="0"/>
          <w:color w:val="auto"/>
          <w:sz w:val="24"/>
          <w:szCs w:val="24"/>
        </w:rPr>
      </w:pPr>
      <w:r w:rsidRPr="00A045B6">
        <w:rPr>
          <w:rStyle w:val="Strong"/>
          <w:rFonts w:ascii="Cambria" w:hAnsi="Cambria"/>
          <w:b/>
          <w:color w:val="auto"/>
          <w:sz w:val="24"/>
          <w:szCs w:val="24"/>
        </w:rPr>
        <w:t xml:space="preserve">Project Leader: </w:t>
      </w:r>
      <w:r w:rsidRPr="00A045B6">
        <w:rPr>
          <w:rFonts w:ascii="Cambria" w:hAnsi="Cambria"/>
          <w:b w:val="0"/>
          <w:color w:val="auto"/>
          <w:sz w:val="24"/>
          <w:szCs w:val="24"/>
        </w:rPr>
        <w:t>Hilary Sandler</w:t>
      </w:r>
    </w:p>
    <w:p w:rsidR="004D1FB1" w:rsidRDefault="00A045B6" w:rsidP="00A045B6">
      <w:pPr>
        <w:pStyle w:val="Heading2"/>
        <w:spacing w:line="200" w:lineRule="atLeast"/>
        <w:rPr>
          <w:rFonts w:ascii="Cambria" w:hAnsi="Cambria"/>
          <w:color w:val="auto"/>
          <w:sz w:val="24"/>
          <w:szCs w:val="24"/>
          <w:u w:val="single"/>
        </w:rPr>
      </w:pPr>
      <w:r w:rsidRPr="004D1FB1">
        <w:rPr>
          <w:rFonts w:ascii="Cambria" w:hAnsi="Cambria"/>
          <w:color w:val="auto"/>
          <w:sz w:val="24"/>
          <w:szCs w:val="24"/>
          <w:u w:val="single"/>
        </w:rPr>
        <w:t xml:space="preserve"> </w:t>
      </w:r>
      <w:r w:rsidR="004D1FB1" w:rsidRPr="004D1FB1">
        <w:rPr>
          <w:rFonts w:ascii="Cambria" w:hAnsi="Cambria"/>
          <w:color w:val="auto"/>
          <w:sz w:val="24"/>
          <w:szCs w:val="24"/>
          <w:u w:val="single"/>
        </w:rPr>
        <w:t>Project Overview</w:t>
      </w:r>
    </w:p>
    <w:p w:rsidR="00A045B6" w:rsidRPr="00A045B6" w:rsidRDefault="00A045B6" w:rsidP="00A045B6">
      <w:pPr>
        <w:pStyle w:val="Heading2"/>
        <w:rPr>
          <w:rFonts w:ascii="Cambria" w:hAnsi="Cambria"/>
          <w:b w:val="0"/>
          <w:color w:val="auto"/>
          <w:sz w:val="24"/>
          <w:szCs w:val="24"/>
        </w:rPr>
      </w:pPr>
      <w:r w:rsidRPr="00A045B6">
        <w:rPr>
          <w:rFonts w:ascii="Cambria" w:hAnsi="Cambria"/>
          <w:b w:val="0"/>
          <w:color w:val="auto"/>
          <w:sz w:val="24"/>
          <w:szCs w:val="24"/>
        </w:rPr>
        <w:t>The cranberry industry in Massachusetts faces many challenges.  In the past ten years, growers have gone from receiving record high prices for their fruit to record low prices.  Although the industry has rebounded, the focus to remain economically competitive and environmentally sustainable has sharpened.  It is anticipated that the industry may lose some acreage due to attrition and that smaller growers may sell their land.  As with all farmers, energy costs are rising quickly, impacting the bottom line.  Growers must develop and adopt innovative technology to remain c</w:t>
      </w:r>
      <w:r w:rsidR="003A0912">
        <w:rPr>
          <w:rFonts w:ascii="Cambria" w:hAnsi="Cambria"/>
          <w:b w:val="0"/>
          <w:color w:val="auto"/>
          <w:sz w:val="24"/>
          <w:szCs w:val="24"/>
        </w:rPr>
        <w:t>ompetitive.  E</w:t>
      </w:r>
      <w:r w:rsidR="003A0912">
        <w:rPr>
          <w:rFonts w:ascii="Cambria" w:hAnsi="Cambria"/>
          <w:b w:val="0"/>
          <w:color w:val="auto"/>
          <w:sz w:val="24"/>
          <w:szCs w:val="24"/>
        </w:rPr>
        <w:t xml:space="preserve">xporting fruit for international </w:t>
      </w:r>
      <w:r w:rsidR="003A0912" w:rsidRPr="00A045B6">
        <w:rPr>
          <w:rFonts w:ascii="Cambria" w:hAnsi="Cambria"/>
          <w:b w:val="0"/>
          <w:color w:val="auto"/>
          <w:sz w:val="24"/>
          <w:szCs w:val="24"/>
        </w:rPr>
        <w:t>markets</w:t>
      </w:r>
      <w:r w:rsidR="003A0912">
        <w:rPr>
          <w:rFonts w:ascii="Cambria" w:hAnsi="Cambria"/>
          <w:b w:val="0"/>
          <w:color w:val="auto"/>
          <w:sz w:val="24"/>
          <w:szCs w:val="24"/>
        </w:rPr>
        <w:t xml:space="preserve"> is also more challenging given the pressure imposed by </w:t>
      </w:r>
      <w:r w:rsidRPr="00A045B6">
        <w:rPr>
          <w:rFonts w:ascii="Cambria" w:hAnsi="Cambria"/>
          <w:b w:val="0"/>
          <w:color w:val="auto"/>
          <w:sz w:val="24"/>
          <w:szCs w:val="24"/>
        </w:rPr>
        <w:t>restrictive thresholds for pesticide residues</w:t>
      </w:r>
      <w:r w:rsidR="003A0912">
        <w:rPr>
          <w:rFonts w:ascii="Cambria" w:hAnsi="Cambria"/>
          <w:b w:val="0"/>
          <w:color w:val="auto"/>
          <w:sz w:val="24"/>
          <w:szCs w:val="24"/>
        </w:rPr>
        <w:t>. Growers</w:t>
      </w:r>
      <w:r w:rsidRPr="00A045B6">
        <w:rPr>
          <w:rFonts w:ascii="Cambria" w:hAnsi="Cambria"/>
          <w:b w:val="0"/>
          <w:color w:val="auto"/>
          <w:sz w:val="24"/>
          <w:szCs w:val="24"/>
        </w:rPr>
        <w:t xml:space="preserve"> must understand the biology of cranberry pests to properly utilize new management tactics. Additionally, they must contend with increasing urban pressure on the farm's margin as many parties compete for resources.  The goal of the UMass Extension Sustainable Cranberry Project is to provide cranberry growers with pertinent and timely information so they may sustain their operations in Southeastern Massachusetts.</w:t>
      </w:r>
    </w:p>
    <w:p w:rsidR="003A0912" w:rsidRDefault="003A0912" w:rsidP="004D1FB1">
      <w:pPr>
        <w:pStyle w:val="Heading2"/>
        <w:rPr>
          <w:rFonts w:ascii="Cambria" w:hAnsi="Cambria"/>
          <w:color w:val="auto"/>
          <w:sz w:val="24"/>
          <w:szCs w:val="24"/>
          <w:u w:val="single"/>
        </w:rPr>
      </w:pPr>
    </w:p>
    <w:p w:rsidR="004D1FB1" w:rsidRPr="004D1FB1" w:rsidRDefault="004D1FB1" w:rsidP="004D1FB1">
      <w:pPr>
        <w:pStyle w:val="Heading2"/>
        <w:rPr>
          <w:rFonts w:ascii="Cambria" w:hAnsi="Cambria"/>
          <w:color w:val="auto"/>
          <w:sz w:val="24"/>
          <w:szCs w:val="24"/>
          <w:u w:val="single"/>
        </w:rPr>
      </w:pPr>
      <w:r w:rsidRPr="004D1FB1">
        <w:rPr>
          <w:rFonts w:ascii="Cambria" w:hAnsi="Cambria"/>
          <w:color w:val="auto"/>
          <w:sz w:val="24"/>
          <w:szCs w:val="24"/>
          <w:u w:val="single"/>
        </w:rPr>
        <w:t>Activity Summary</w:t>
      </w:r>
      <w:r>
        <w:rPr>
          <w:rFonts w:ascii="Cambria" w:hAnsi="Cambria"/>
          <w:color w:val="auto"/>
          <w:sz w:val="24"/>
          <w:szCs w:val="24"/>
          <w:u w:val="single"/>
        </w:rPr>
        <w:t xml:space="preserve"> - 2012</w:t>
      </w:r>
    </w:p>
    <w:p w:rsidR="00A045B6" w:rsidRPr="00A045B6" w:rsidRDefault="00A045B6" w:rsidP="00A045B6">
      <w:pPr>
        <w:pStyle w:val="ListParagraph"/>
        <w:numPr>
          <w:ilvl w:val="0"/>
          <w:numId w:val="3"/>
        </w:numPr>
        <w:rPr>
          <w:rFonts w:ascii="Cambria" w:hAnsi="Cambria"/>
          <w:sz w:val="24"/>
        </w:rPr>
      </w:pPr>
      <w:r w:rsidRPr="00A045B6">
        <w:rPr>
          <w:rFonts w:ascii="Cambria" w:hAnsi="Cambria"/>
          <w:sz w:val="24"/>
        </w:rPr>
        <w:t>Annual Meeting - Cranberry Management Update(1)</w:t>
      </w:r>
    </w:p>
    <w:p w:rsidR="00A045B6" w:rsidRPr="00A045B6" w:rsidRDefault="00A045B6" w:rsidP="00A045B6">
      <w:pPr>
        <w:pStyle w:val="ListParagraph"/>
        <w:numPr>
          <w:ilvl w:val="0"/>
          <w:numId w:val="3"/>
        </w:numPr>
        <w:rPr>
          <w:rFonts w:ascii="Cambria" w:hAnsi="Cambria"/>
          <w:sz w:val="24"/>
        </w:rPr>
      </w:pPr>
      <w:proofErr w:type="spellStart"/>
      <w:r w:rsidRPr="00A045B6">
        <w:rPr>
          <w:rFonts w:ascii="Cambria" w:hAnsi="Cambria"/>
          <w:sz w:val="24"/>
        </w:rPr>
        <w:t>Bogside</w:t>
      </w:r>
      <w:proofErr w:type="spellEnd"/>
      <w:r w:rsidRPr="00A045B6">
        <w:rPr>
          <w:rFonts w:ascii="Cambria" w:hAnsi="Cambria"/>
          <w:sz w:val="24"/>
        </w:rPr>
        <w:t xml:space="preserve"> Workshops (1)</w:t>
      </w:r>
    </w:p>
    <w:p w:rsidR="00A045B6" w:rsidRPr="00A045B6" w:rsidRDefault="00A045B6" w:rsidP="00A045B6">
      <w:pPr>
        <w:pStyle w:val="ListParagraph"/>
        <w:numPr>
          <w:ilvl w:val="0"/>
          <w:numId w:val="3"/>
        </w:numPr>
        <w:rPr>
          <w:rFonts w:ascii="Cambria" w:hAnsi="Cambria"/>
          <w:sz w:val="24"/>
        </w:rPr>
      </w:pPr>
      <w:r w:rsidRPr="00A045B6">
        <w:rPr>
          <w:rFonts w:ascii="Cambria" w:hAnsi="Cambria"/>
          <w:sz w:val="24"/>
        </w:rPr>
        <w:t>Cranberry diagnostic and management recommendation services(1)</w:t>
      </w:r>
    </w:p>
    <w:p w:rsidR="00A045B6" w:rsidRPr="00A045B6" w:rsidRDefault="00A045B6" w:rsidP="00A045B6">
      <w:pPr>
        <w:pStyle w:val="ListParagraph"/>
        <w:numPr>
          <w:ilvl w:val="0"/>
          <w:numId w:val="3"/>
        </w:numPr>
        <w:rPr>
          <w:rFonts w:ascii="Cambria" w:hAnsi="Cambria"/>
          <w:sz w:val="24"/>
        </w:rPr>
      </w:pPr>
      <w:r w:rsidRPr="00A045B6">
        <w:rPr>
          <w:rFonts w:ascii="Cambria" w:hAnsi="Cambria"/>
          <w:sz w:val="24"/>
        </w:rPr>
        <w:t>Cranberry Station Newsletter(1)</w:t>
      </w:r>
    </w:p>
    <w:p w:rsidR="00A045B6" w:rsidRPr="00A045B6" w:rsidRDefault="00A045B6" w:rsidP="00A045B6">
      <w:pPr>
        <w:pStyle w:val="ListParagraph"/>
        <w:numPr>
          <w:ilvl w:val="0"/>
          <w:numId w:val="3"/>
        </w:numPr>
        <w:rPr>
          <w:rFonts w:ascii="Cambria" w:hAnsi="Cambria"/>
          <w:sz w:val="24"/>
        </w:rPr>
      </w:pPr>
      <w:r w:rsidRPr="00A045B6">
        <w:rPr>
          <w:rFonts w:ascii="Cambria" w:hAnsi="Cambria"/>
          <w:sz w:val="24"/>
        </w:rPr>
        <w:t>Cranberry station Website (1)</w:t>
      </w:r>
    </w:p>
    <w:p w:rsidR="00A045B6" w:rsidRPr="00A045B6" w:rsidRDefault="00A045B6" w:rsidP="00A045B6">
      <w:pPr>
        <w:pStyle w:val="ListParagraph"/>
        <w:numPr>
          <w:ilvl w:val="0"/>
          <w:numId w:val="3"/>
        </w:numPr>
        <w:rPr>
          <w:rFonts w:ascii="Cambria" w:hAnsi="Cambria"/>
          <w:sz w:val="24"/>
        </w:rPr>
      </w:pPr>
      <w:r w:rsidRPr="00A045B6">
        <w:rPr>
          <w:rFonts w:ascii="Cambria" w:hAnsi="Cambria"/>
          <w:sz w:val="24"/>
        </w:rPr>
        <w:t xml:space="preserve">Maintaining &amp; Enhancing Native Pollinator Habitat </w:t>
      </w:r>
      <w:r w:rsidR="003A0912">
        <w:rPr>
          <w:rFonts w:ascii="Cambria" w:hAnsi="Cambria"/>
          <w:sz w:val="24"/>
        </w:rPr>
        <w:t xml:space="preserve">- </w:t>
      </w:r>
      <w:r w:rsidRPr="00A045B6">
        <w:rPr>
          <w:rFonts w:ascii="Cambria" w:hAnsi="Cambria"/>
          <w:sz w:val="24"/>
        </w:rPr>
        <w:t>Best Management Practice fact sheets(1)</w:t>
      </w:r>
    </w:p>
    <w:p w:rsidR="00A045B6" w:rsidRPr="00A045B6" w:rsidRDefault="00A045B6" w:rsidP="00A045B6">
      <w:pPr>
        <w:pStyle w:val="ListParagraph"/>
        <w:numPr>
          <w:ilvl w:val="0"/>
          <w:numId w:val="3"/>
        </w:numPr>
        <w:rPr>
          <w:rFonts w:ascii="Cambria" w:hAnsi="Cambria"/>
          <w:sz w:val="24"/>
        </w:rPr>
      </w:pPr>
      <w:r w:rsidRPr="00A045B6">
        <w:rPr>
          <w:rFonts w:ascii="Cambria" w:hAnsi="Cambria"/>
          <w:sz w:val="24"/>
        </w:rPr>
        <w:t>Development of research-based Best Management Practices relating to canopy management and reduced herbicide and phosphorus inputs(1)</w:t>
      </w:r>
    </w:p>
    <w:p w:rsidR="00A045B6" w:rsidRPr="00A045B6" w:rsidRDefault="00A045B6" w:rsidP="00A045B6">
      <w:pPr>
        <w:pStyle w:val="ListParagraph"/>
        <w:numPr>
          <w:ilvl w:val="0"/>
          <w:numId w:val="3"/>
        </w:numPr>
        <w:rPr>
          <w:rFonts w:ascii="Cambria" w:hAnsi="Cambria"/>
          <w:sz w:val="24"/>
        </w:rPr>
      </w:pPr>
      <w:r w:rsidRPr="00A045B6">
        <w:rPr>
          <w:rFonts w:ascii="Cambria" w:hAnsi="Cambria"/>
          <w:sz w:val="24"/>
        </w:rPr>
        <w:t>Graduate Student Applied Research Advising(1)</w:t>
      </w:r>
    </w:p>
    <w:p w:rsidR="00A045B6" w:rsidRPr="00A045B6" w:rsidRDefault="00A045B6" w:rsidP="00A045B6">
      <w:pPr>
        <w:pStyle w:val="ListParagraph"/>
        <w:numPr>
          <w:ilvl w:val="0"/>
          <w:numId w:val="3"/>
        </w:numPr>
        <w:rPr>
          <w:rFonts w:ascii="Cambria" w:hAnsi="Cambria"/>
          <w:sz w:val="24"/>
        </w:rPr>
      </w:pPr>
      <w:r w:rsidRPr="00A045B6">
        <w:rPr>
          <w:rFonts w:ascii="Cambria" w:hAnsi="Cambria"/>
          <w:sz w:val="24"/>
        </w:rPr>
        <w:t xml:space="preserve">Impacts of Pest Management on Pollinators </w:t>
      </w:r>
      <w:r w:rsidR="003A0912">
        <w:rPr>
          <w:rFonts w:ascii="Cambria" w:hAnsi="Cambria"/>
          <w:sz w:val="24"/>
        </w:rPr>
        <w:t>- w</w:t>
      </w:r>
      <w:r w:rsidRPr="00A045B6">
        <w:rPr>
          <w:rFonts w:ascii="Cambria" w:hAnsi="Cambria"/>
          <w:sz w:val="24"/>
        </w:rPr>
        <w:t>orkshop(4)</w:t>
      </w:r>
    </w:p>
    <w:p w:rsidR="00A045B6" w:rsidRPr="00A045B6" w:rsidRDefault="00A045B6" w:rsidP="00A045B6">
      <w:pPr>
        <w:pStyle w:val="ListParagraph"/>
        <w:numPr>
          <w:ilvl w:val="0"/>
          <w:numId w:val="3"/>
        </w:numPr>
        <w:rPr>
          <w:rFonts w:ascii="Cambria" w:hAnsi="Cambria"/>
          <w:sz w:val="24"/>
        </w:rPr>
      </w:pPr>
      <w:r w:rsidRPr="00A045B6">
        <w:rPr>
          <w:rFonts w:ascii="Cambria" w:hAnsi="Cambria"/>
          <w:sz w:val="24"/>
        </w:rPr>
        <w:t xml:space="preserve">Irrigation automation </w:t>
      </w:r>
      <w:r w:rsidR="003A0912">
        <w:rPr>
          <w:rFonts w:ascii="Cambria" w:hAnsi="Cambria"/>
          <w:sz w:val="24"/>
        </w:rPr>
        <w:t xml:space="preserve">- </w:t>
      </w:r>
      <w:r w:rsidRPr="00A045B6">
        <w:rPr>
          <w:rFonts w:ascii="Cambria" w:hAnsi="Cambria"/>
          <w:sz w:val="24"/>
        </w:rPr>
        <w:t>workshop(1)</w:t>
      </w:r>
    </w:p>
    <w:p w:rsidR="00A045B6" w:rsidRPr="00A045B6" w:rsidRDefault="00A045B6" w:rsidP="00A045B6">
      <w:pPr>
        <w:pStyle w:val="ListParagraph"/>
        <w:numPr>
          <w:ilvl w:val="0"/>
          <w:numId w:val="3"/>
        </w:numPr>
        <w:rPr>
          <w:rFonts w:ascii="Cambria" w:hAnsi="Cambria"/>
          <w:sz w:val="24"/>
        </w:rPr>
      </w:pPr>
      <w:r w:rsidRPr="00A045B6">
        <w:rPr>
          <w:rFonts w:ascii="Cambria" w:hAnsi="Cambria"/>
          <w:sz w:val="24"/>
        </w:rPr>
        <w:t xml:space="preserve">Pesticide Safety </w:t>
      </w:r>
      <w:r w:rsidR="003A0912">
        <w:rPr>
          <w:rFonts w:ascii="Cambria" w:hAnsi="Cambria"/>
          <w:sz w:val="24"/>
        </w:rPr>
        <w:t>- w</w:t>
      </w:r>
      <w:r w:rsidRPr="00A045B6">
        <w:rPr>
          <w:rFonts w:ascii="Cambria" w:hAnsi="Cambria"/>
          <w:sz w:val="24"/>
        </w:rPr>
        <w:t>orkshop(1)</w:t>
      </w:r>
    </w:p>
    <w:p w:rsidR="00A045B6" w:rsidRPr="00A045B6" w:rsidRDefault="00A045B6" w:rsidP="00A045B6">
      <w:pPr>
        <w:pStyle w:val="ListParagraph"/>
        <w:numPr>
          <w:ilvl w:val="0"/>
          <w:numId w:val="3"/>
        </w:numPr>
        <w:rPr>
          <w:rFonts w:ascii="Cambria" w:hAnsi="Cambria"/>
          <w:sz w:val="24"/>
        </w:rPr>
      </w:pPr>
      <w:r w:rsidRPr="00A045B6">
        <w:rPr>
          <w:rFonts w:ascii="Cambria" w:hAnsi="Cambria"/>
          <w:sz w:val="24"/>
        </w:rPr>
        <w:t>Research project in support of reduced-risk pesticide registration(1)</w:t>
      </w:r>
    </w:p>
    <w:p w:rsidR="004D1FB1" w:rsidRPr="004D1FB1" w:rsidRDefault="004D1FB1" w:rsidP="004D1FB1">
      <w:pPr>
        <w:rPr>
          <w:rFonts w:ascii="Cambria" w:hAnsi="Cambria"/>
        </w:rPr>
      </w:pPr>
    </w:p>
    <w:p w:rsidR="00A045B6" w:rsidRDefault="00A045B6" w:rsidP="004D1FB1">
      <w:pPr>
        <w:pStyle w:val="Heading3"/>
        <w:rPr>
          <w:rFonts w:ascii="Cambria" w:hAnsi="Cambria"/>
          <w:i/>
          <w:color w:val="auto"/>
          <w:sz w:val="24"/>
          <w:szCs w:val="24"/>
        </w:rPr>
      </w:pPr>
    </w:p>
    <w:p w:rsidR="003A0912" w:rsidRDefault="003A0912" w:rsidP="004D1FB1">
      <w:pPr>
        <w:pStyle w:val="Heading3"/>
        <w:rPr>
          <w:rFonts w:ascii="Cambria" w:hAnsi="Cambria"/>
          <w:i/>
          <w:color w:val="auto"/>
          <w:sz w:val="24"/>
          <w:szCs w:val="24"/>
        </w:rPr>
      </w:pPr>
    </w:p>
    <w:p w:rsidR="004D1FB1" w:rsidRPr="004D1FB1" w:rsidRDefault="004D1FB1" w:rsidP="004D1FB1">
      <w:pPr>
        <w:pStyle w:val="Heading3"/>
        <w:rPr>
          <w:rFonts w:ascii="Cambria" w:hAnsi="Cambria"/>
          <w:i/>
          <w:color w:val="auto"/>
          <w:sz w:val="24"/>
          <w:szCs w:val="24"/>
        </w:rPr>
      </w:pPr>
      <w:r w:rsidRPr="004D1FB1">
        <w:rPr>
          <w:rFonts w:ascii="Cambria" w:hAnsi="Cambria"/>
          <w:i/>
          <w:color w:val="auto"/>
          <w:sz w:val="24"/>
          <w:szCs w:val="24"/>
        </w:rPr>
        <w:lastRenderedPageBreak/>
        <w:t xml:space="preserve">Educational contacts </w:t>
      </w:r>
    </w:p>
    <w:p w:rsidR="004D1FB1" w:rsidRPr="004D1FB1" w:rsidRDefault="004D1FB1" w:rsidP="004D1FB1">
      <w:pPr>
        <w:pStyle w:val="Heading3"/>
        <w:rPr>
          <w:rFonts w:ascii="Cambria" w:hAnsi="Cambria"/>
          <w:color w:val="auto"/>
          <w:sz w:val="24"/>
          <w:szCs w:val="24"/>
        </w:rPr>
      </w:pPr>
    </w:p>
    <w:tbl>
      <w:tblPr>
        <w:tblW w:w="7038" w:type="dxa"/>
        <w:tblLayout w:type="fixed"/>
        <w:tblLook w:val="01E0" w:firstRow="1" w:lastRow="1" w:firstColumn="1" w:lastColumn="1" w:noHBand="0" w:noVBand="0"/>
      </w:tblPr>
      <w:tblGrid>
        <w:gridCol w:w="4158"/>
        <w:gridCol w:w="1260"/>
        <w:gridCol w:w="1620"/>
      </w:tblGrid>
      <w:tr w:rsidR="004D1FB1" w:rsidRPr="005C18AD" w:rsidTr="004D1FB1">
        <w:tc>
          <w:tcPr>
            <w:tcW w:w="4158" w:type="dxa"/>
            <w:tcBorders>
              <w:bottom w:val="single" w:sz="4" w:space="0" w:color="auto"/>
            </w:tcBorders>
          </w:tcPr>
          <w:p w:rsidR="004D1FB1" w:rsidRPr="004D1FB1" w:rsidRDefault="004D1FB1" w:rsidP="00DD5201">
            <w:pPr>
              <w:pStyle w:val="Heading3"/>
              <w:rPr>
                <w:rFonts w:ascii="Cambria" w:hAnsi="Cambria"/>
                <w:b w:val="0"/>
                <w:color w:val="auto"/>
                <w:sz w:val="24"/>
                <w:szCs w:val="24"/>
              </w:rPr>
            </w:pPr>
          </w:p>
        </w:tc>
        <w:tc>
          <w:tcPr>
            <w:tcW w:w="1260" w:type="dxa"/>
            <w:tcBorders>
              <w:bottom w:val="single" w:sz="4" w:space="0" w:color="auto"/>
            </w:tcBorders>
          </w:tcPr>
          <w:p w:rsidR="004D1FB1" w:rsidRPr="004D1FB1" w:rsidRDefault="004D1FB1" w:rsidP="00DD5201">
            <w:pPr>
              <w:pStyle w:val="Heading3"/>
              <w:jc w:val="center"/>
              <w:rPr>
                <w:rFonts w:ascii="Cambria" w:hAnsi="Cambria"/>
                <w:b w:val="0"/>
                <w:color w:val="auto"/>
                <w:sz w:val="24"/>
                <w:szCs w:val="24"/>
              </w:rPr>
            </w:pPr>
            <w:r w:rsidRPr="004D1FB1">
              <w:rPr>
                <w:rFonts w:ascii="Cambria" w:hAnsi="Cambria"/>
                <w:b w:val="0"/>
                <w:color w:val="auto"/>
                <w:sz w:val="24"/>
                <w:szCs w:val="24"/>
              </w:rPr>
              <w:t>Adult Contacts</w:t>
            </w:r>
          </w:p>
        </w:tc>
        <w:tc>
          <w:tcPr>
            <w:tcW w:w="1620" w:type="dxa"/>
            <w:tcBorders>
              <w:bottom w:val="single" w:sz="4" w:space="0" w:color="auto"/>
            </w:tcBorders>
          </w:tcPr>
          <w:p w:rsidR="004D1FB1" w:rsidRPr="004D1FB1" w:rsidRDefault="004D1FB1" w:rsidP="00DD5201">
            <w:pPr>
              <w:pStyle w:val="Heading3"/>
              <w:jc w:val="center"/>
              <w:rPr>
                <w:rFonts w:ascii="Cambria" w:hAnsi="Cambria"/>
                <w:b w:val="0"/>
                <w:color w:val="auto"/>
                <w:sz w:val="24"/>
                <w:szCs w:val="24"/>
              </w:rPr>
            </w:pPr>
            <w:r w:rsidRPr="004D1FB1">
              <w:rPr>
                <w:rFonts w:ascii="Cambria" w:hAnsi="Cambria"/>
                <w:b w:val="0"/>
                <w:color w:val="auto"/>
                <w:sz w:val="24"/>
                <w:szCs w:val="24"/>
              </w:rPr>
              <w:t>Youth Contacts</w:t>
            </w:r>
          </w:p>
        </w:tc>
      </w:tr>
      <w:tr w:rsidR="00A045B6" w:rsidRPr="005C18AD" w:rsidTr="004D1FB1">
        <w:tc>
          <w:tcPr>
            <w:tcW w:w="4158" w:type="dxa"/>
            <w:tcBorders>
              <w:top w:val="single" w:sz="4" w:space="0" w:color="auto"/>
            </w:tcBorders>
          </w:tcPr>
          <w:p w:rsidR="00A045B6" w:rsidRPr="004D1FB1" w:rsidRDefault="00A045B6" w:rsidP="00DD5201">
            <w:pPr>
              <w:pStyle w:val="Heading3"/>
              <w:rPr>
                <w:rFonts w:ascii="Cambria" w:hAnsi="Cambria"/>
                <w:b w:val="0"/>
                <w:color w:val="auto"/>
                <w:sz w:val="24"/>
                <w:szCs w:val="24"/>
              </w:rPr>
            </w:pPr>
            <w:r w:rsidRPr="004D1FB1">
              <w:rPr>
                <w:rFonts w:ascii="Cambria" w:hAnsi="Cambria"/>
                <w:b w:val="0"/>
                <w:color w:val="auto"/>
                <w:sz w:val="24"/>
                <w:szCs w:val="24"/>
              </w:rPr>
              <w:t>In Person</w:t>
            </w:r>
          </w:p>
        </w:tc>
        <w:tc>
          <w:tcPr>
            <w:tcW w:w="1260" w:type="dxa"/>
            <w:tcBorders>
              <w:top w:val="single" w:sz="4" w:space="0" w:color="auto"/>
            </w:tcBorders>
          </w:tcPr>
          <w:p w:rsidR="00A045B6" w:rsidRDefault="00A045B6">
            <w:pPr>
              <w:pStyle w:val="Heading3"/>
              <w:jc w:val="center"/>
              <w:rPr>
                <w:rFonts w:asciiTheme="majorHAnsi" w:hAnsiTheme="majorHAnsi"/>
                <w:b w:val="0"/>
                <w:color w:val="auto"/>
                <w:sz w:val="24"/>
                <w:szCs w:val="24"/>
              </w:rPr>
            </w:pPr>
            <w:r>
              <w:rPr>
                <w:rFonts w:asciiTheme="majorHAnsi" w:hAnsiTheme="majorHAnsi"/>
                <w:b w:val="0"/>
                <w:color w:val="auto"/>
                <w:sz w:val="24"/>
                <w:szCs w:val="24"/>
              </w:rPr>
              <w:t>1,043</w:t>
            </w:r>
          </w:p>
        </w:tc>
        <w:tc>
          <w:tcPr>
            <w:tcW w:w="1620" w:type="dxa"/>
            <w:tcBorders>
              <w:top w:val="single" w:sz="4" w:space="0" w:color="auto"/>
            </w:tcBorders>
          </w:tcPr>
          <w:p w:rsidR="00A045B6" w:rsidRPr="00696DAB" w:rsidRDefault="00A045B6" w:rsidP="00696DAB">
            <w:pPr>
              <w:pStyle w:val="Heading3"/>
              <w:jc w:val="center"/>
              <w:rPr>
                <w:rFonts w:ascii="Cambria" w:hAnsi="Cambria"/>
                <w:b w:val="0"/>
                <w:color w:val="auto"/>
                <w:sz w:val="24"/>
                <w:szCs w:val="24"/>
              </w:rPr>
            </w:pPr>
            <w:r>
              <w:rPr>
                <w:rFonts w:ascii="Cambria" w:hAnsi="Cambria"/>
                <w:b w:val="0"/>
                <w:color w:val="auto"/>
                <w:sz w:val="24"/>
                <w:szCs w:val="24"/>
              </w:rPr>
              <w:t>0</w:t>
            </w:r>
          </w:p>
        </w:tc>
      </w:tr>
      <w:tr w:rsidR="00A045B6" w:rsidRPr="005C18AD" w:rsidTr="004D1FB1">
        <w:tc>
          <w:tcPr>
            <w:tcW w:w="4158" w:type="dxa"/>
          </w:tcPr>
          <w:p w:rsidR="00A045B6" w:rsidRPr="004D1FB1" w:rsidRDefault="00A045B6" w:rsidP="00DD5201">
            <w:pPr>
              <w:pStyle w:val="Heading3"/>
              <w:rPr>
                <w:rFonts w:ascii="Cambria" w:hAnsi="Cambria"/>
                <w:b w:val="0"/>
                <w:color w:val="auto"/>
                <w:sz w:val="24"/>
                <w:szCs w:val="24"/>
              </w:rPr>
            </w:pPr>
            <w:r w:rsidRPr="004D1FB1">
              <w:rPr>
                <w:rFonts w:ascii="Cambria" w:hAnsi="Cambria"/>
                <w:b w:val="0"/>
                <w:color w:val="auto"/>
                <w:sz w:val="24"/>
                <w:szCs w:val="24"/>
              </w:rPr>
              <w:t xml:space="preserve">Indirect Contacts (Print, Web, etc…)  </w:t>
            </w:r>
          </w:p>
        </w:tc>
        <w:tc>
          <w:tcPr>
            <w:tcW w:w="1260" w:type="dxa"/>
          </w:tcPr>
          <w:p w:rsidR="00A045B6" w:rsidRDefault="00A045B6">
            <w:pPr>
              <w:pStyle w:val="Heading3"/>
              <w:jc w:val="center"/>
              <w:rPr>
                <w:rFonts w:asciiTheme="majorHAnsi" w:hAnsiTheme="majorHAnsi"/>
                <w:b w:val="0"/>
                <w:color w:val="auto"/>
                <w:sz w:val="24"/>
                <w:szCs w:val="24"/>
              </w:rPr>
            </w:pPr>
            <w:r>
              <w:rPr>
                <w:rFonts w:asciiTheme="majorHAnsi" w:hAnsiTheme="majorHAnsi"/>
                <w:b w:val="0"/>
                <w:color w:val="auto"/>
                <w:sz w:val="24"/>
                <w:szCs w:val="24"/>
              </w:rPr>
              <w:t>958</w:t>
            </w:r>
          </w:p>
        </w:tc>
        <w:tc>
          <w:tcPr>
            <w:tcW w:w="1620" w:type="dxa"/>
          </w:tcPr>
          <w:p w:rsidR="00A045B6" w:rsidRPr="004D1FB1" w:rsidRDefault="00A045B6" w:rsidP="00DD5201">
            <w:pPr>
              <w:pStyle w:val="Heading3"/>
              <w:jc w:val="center"/>
              <w:rPr>
                <w:rFonts w:ascii="Cambria" w:hAnsi="Cambria"/>
                <w:b w:val="0"/>
                <w:color w:val="auto"/>
                <w:sz w:val="24"/>
                <w:szCs w:val="24"/>
              </w:rPr>
            </w:pPr>
            <w:r w:rsidRPr="004D1FB1">
              <w:rPr>
                <w:rFonts w:ascii="Cambria" w:hAnsi="Cambria"/>
                <w:b w:val="0"/>
                <w:color w:val="auto"/>
                <w:sz w:val="24"/>
                <w:szCs w:val="24"/>
              </w:rPr>
              <w:t>0</w:t>
            </w:r>
          </w:p>
        </w:tc>
      </w:tr>
    </w:tbl>
    <w:p w:rsidR="004D1FB1" w:rsidRDefault="004D1FB1" w:rsidP="004D1FB1">
      <w:pPr>
        <w:pStyle w:val="Heading2"/>
        <w:rPr>
          <w:rFonts w:ascii="Cambria" w:hAnsi="Cambria"/>
          <w:color w:val="auto"/>
          <w:sz w:val="24"/>
          <w:szCs w:val="24"/>
          <w:u w:val="single"/>
        </w:rPr>
      </w:pPr>
      <w:r w:rsidRPr="004D1FB1">
        <w:rPr>
          <w:rFonts w:ascii="Cambria" w:hAnsi="Cambria"/>
          <w:color w:val="auto"/>
          <w:sz w:val="24"/>
          <w:szCs w:val="24"/>
          <w:u w:val="single"/>
        </w:rPr>
        <w:t>Narrative Summary</w:t>
      </w:r>
      <w:r>
        <w:rPr>
          <w:rFonts w:ascii="Cambria" w:hAnsi="Cambria"/>
          <w:color w:val="auto"/>
          <w:sz w:val="24"/>
          <w:szCs w:val="24"/>
          <w:u w:val="single"/>
        </w:rPr>
        <w:t xml:space="preserve"> </w:t>
      </w:r>
      <w:r w:rsidR="00A045B6">
        <w:rPr>
          <w:rFonts w:ascii="Cambria" w:hAnsi="Cambria"/>
          <w:color w:val="auto"/>
          <w:sz w:val="24"/>
          <w:szCs w:val="24"/>
          <w:u w:val="single"/>
        </w:rPr>
        <w:t>–</w:t>
      </w:r>
      <w:r>
        <w:rPr>
          <w:rFonts w:ascii="Cambria" w:hAnsi="Cambria"/>
          <w:color w:val="auto"/>
          <w:sz w:val="24"/>
          <w:szCs w:val="24"/>
          <w:u w:val="single"/>
        </w:rPr>
        <w:t xml:space="preserve"> 2012</w:t>
      </w:r>
    </w:p>
    <w:p w:rsidR="00A045B6" w:rsidRPr="00A045B6" w:rsidRDefault="00A045B6" w:rsidP="00A045B6">
      <w:pPr>
        <w:spacing w:before="100" w:beforeAutospacing="1" w:after="100" w:afterAutospacing="1"/>
        <w:rPr>
          <w:rFonts w:ascii="Cambria" w:hAnsi="Cambria"/>
        </w:rPr>
      </w:pPr>
      <w:proofErr w:type="gramStart"/>
      <w:r w:rsidRPr="00A045B6">
        <w:rPr>
          <w:rFonts w:ascii="Cambria" w:hAnsi="Cambria"/>
          <w:b/>
          <w:bCs/>
        </w:rPr>
        <w:t>Evaluation of Automated Irrigation Cycling in Cranberry Frost Protection.</w:t>
      </w:r>
      <w:proofErr w:type="gramEnd"/>
      <w:r w:rsidRPr="00A045B6">
        <w:rPr>
          <w:rFonts w:ascii="Cambria" w:hAnsi="Cambria"/>
          <w:b/>
          <w:bCs/>
        </w:rPr>
        <w:t xml:space="preserve">  </w:t>
      </w:r>
      <w:r w:rsidRPr="00A045B6">
        <w:rPr>
          <w:rFonts w:ascii="Cambria" w:hAnsi="Cambria"/>
        </w:rPr>
        <w:t>A new research project funded by USDA NRCS-CIG Program will evaluate automated frost cycling. Automated frost cycling offers an opportunity to reduce the amount of water usage and at the same time realize additional energy savings because the pump will not be continuously running during a frost night. We currently do not have best management practices (BMPs) for frost cycling regarding temperature set points and the optimal irrigation water volumes to be applied.</w:t>
      </w:r>
    </w:p>
    <w:p w:rsidR="00A045B6" w:rsidRPr="00A045B6" w:rsidRDefault="00A045B6" w:rsidP="00A045B6">
      <w:pPr>
        <w:spacing w:before="100" w:beforeAutospacing="1" w:after="100" w:afterAutospacing="1"/>
        <w:rPr>
          <w:rFonts w:ascii="Cambria" w:hAnsi="Cambria"/>
        </w:rPr>
      </w:pPr>
      <w:proofErr w:type="gramStart"/>
      <w:r w:rsidRPr="00A045B6">
        <w:rPr>
          <w:rFonts w:ascii="Cambria" w:hAnsi="Cambria"/>
          <w:b/>
          <w:bCs/>
        </w:rPr>
        <w:t>Further studies on upright dieback in cranberry.</w:t>
      </w:r>
      <w:proofErr w:type="gramEnd"/>
      <w:r w:rsidRPr="00A045B6">
        <w:rPr>
          <w:rFonts w:ascii="Cambria" w:hAnsi="Cambria"/>
        </w:rPr>
        <w:t xml:space="preserve"> Upright dieback caused by </w:t>
      </w:r>
      <w:proofErr w:type="spellStart"/>
      <w:r w:rsidRPr="00A045B6">
        <w:rPr>
          <w:rFonts w:ascii="Cambria" w:hAnsi="Cambria"/>
          <w:i/>
          <w:iCs/>
        </w:rPr>
        <w:t>Phomopsis</w:t>
      </w:r>
      <w:proofErr w:type="spellEnd"/>
      <w:r w:rsidRPr="00A045B6">
        <w:rPr>
          <w:rFonts w:ascii="Cambria" w:hAnsi="Cambria"/>
          <w:i/>
          <w:iCs/>
        </w:rPr>
        <w:t xml:space="preserve"> </w:t>
      </w:r>
      <w:proofErr w:type="spellStart"/>
      <w:r w:rsidRPr="00A045B6">
        <w:rPr>
          <w:rFonts w:ascii="Cambria" w:hAnsi="Cambria"/>
          <w:i/>
          <w:iCs/>
        </w:rPr>
        <w:t>vaccinii</w:t>
      </w:r>
      <w:proofErr w:type="spellEnd"/>
      <w:r w:rsidRPr="00A045B6">
        <w:rPr>
          <w:rFonts w:ascii="Cambria" w:hAnsi="Cambria"/>
        </w:rPr>
        <w:t xml:space="preserve"> occurs in all areas where cranberries are grown. Although the worst case scenario in some beds involves 20% symptomatic uprights, cranberry yields did not appear to be impacted. A three year study examined the ratio of vegetative to fruiting uprights affected by the disease and its relationship to yield in that bed. Several transects were walked in each bed in order to get 20 representative samples of uprights in a unit area. The ratio of vegetative to fruiting uprights varied from 1:1 to 1000:1, and the ratio within a single bed varied significantly within the three year period. Just prior to harvest, similar transects were walked in order to determin</w:t>
      </w:r>
      <w:r w:rsidR="003A0912">
        <w:rPr>
          <w:rFonts w:ascii="Cambria" w:hAnsi="Cambria"/>
        </w:rPr>
        <w:t xml:space="preserve">e yields. Yields were largely not </w:t>
      </w:r>
      <w:r w:rsidRPr="00A045B6">
        <w:rPr>
          <w:rFonts w:ascii="Cambria" w:hAnsi="Cambria"/>
        </w:rPr>
        <w:t xml:space="preserve">impacted by the disease, even when the ratio of uprights was 1:1. Both vegetative and fruiting uprights were sampled, stripped of their leaves and 1-cm pieces were surface sterilized and plated on ACMA. Fungi were identified at three weeks. </w:t>
      </w:r>
      <w:proofErr w:type="spellStart"/>
      <w:r w:rsidRPr="00A045B6">
        <w:rPr>
          <w:rFonts w:ascii="Cambria" w:hAnsi="Cambria"/>
          <w:i/>
          <w:iCs/>
        </w:rPr>
        <w:t>Phomopsis</w:t>
      </w:r>
      <w:proofErr w:type="spellEnd"/>
      <w:r w:rsidRPr="00A045B6">
        <w:rPr>
          <w:rFonts w:ascii="Cambria" w:hAnsi="Cambria"/>
        </w:rPr>
        <w:t xml:space="preserve"> incidence was high in both types of uprights, but generally higher in the fruiting uprights. </w:t>
      </w:r>
      <w:proofErr w:type="spellStart"/>
      <w:r w:rsidRPr="00A045B6">
        <w:rPr>
          <w:rFonts w:ascii="Cambria" w:hAnsi="Cambria"/>
          <w:i/>
          <w:iCs/>
        </w:rPr>
        <w:t>Fusicoccum</w:t>
      </w:r>
      <w:proofErr w:type="spellEnd"/>
      <w:r w:rsidRPr="00A045B6">
        <w:rPr>
          <w:rFonts w:ascii="Cambria" w:hAnsi="Cambria"/>
          <w:i/>
          <w:iCs/>
        </w:rPr>
        <w:t xml:space="preserve"> </w:t>
      </w:r>
      <w:proofErr w:type="spellStart"/>
      <w:r w:rsidRPr="00A045B6">
        <w:rPr>
          <w:rFonts w:ascii="Cambria" w:hAnsi="Cambria"/>
          <w:i/>
          <w:iCs/>
        </w:rPr>
        <w:t>putrefaciens</w:t>
      </w:r>
      <w:proofErr w:type="spellEnd"/>
      <w:r w:rsidRPr="00A045B6">
        <w:rPr>
          <w:rFonts w:ascii="Cambria" w:hAnsi="Cambria"/>
        </w:rPr>
        <w:t xml:space="preserve"> was also cultured from both types of uprights at significantly lower levels, but usually equivalent for each upright type. When uprights were sampled the following spring, </w:t>
      </w:r>
      <w:proofErr w:type="spellStart"/>
      <w:r w:rsidRPr="00A045B6">
        <w:rPr>
          <w:rFonts w:ascii="Cambria" w:hAnsi="Cambria"/>
          <w:i/>
          <w:iCs/>
        </w:rPr>
        <w:t>Fusicoccum</w:t>
      </w:r>
      <w:proofErr w:type="spellEnd"/>
      <w:r w:rsidRPr="00A045B6">
        <w:rPr>
          <w:rFonts w:ascii="Cambria" w:hAnsi="Cambria"/>
        </w:rPr>
        <w:t xml:space="preserve"> was isolated much more frequently than </w:t>
      </w:r>
      <w:proofErr w:type="spellStart"/>
      <w:r w:rsidRPr="00A045B6">
        <w:rPr>
          <w:rFonts w:ascii="Cambria" w:hAnsi="Cambria"/>
          <w:i/>
          <w:iCs/>
        </w:rPr>
        <w:t>Phomopsis</w:t>
      </w:r>
      <w:proofErr w:type="spellEnd"/>
      <w:r w:rsidRPr="00A045B6">
        <w:rPr>
          <w:rFonts w:ascii="Cambria" w:hAnsi="Cambria"/>
        </w:rPr>
        <w:t xml:space="preserve">. Because both of these fungi also cause cranberry fruit rot, fungicide applications for control are still warranted. </w:t>
      </w:r>
    </w:p>
    <w:p w:rsidR="00A045B6" w:rsidRPr="00A045B6" w:rsidRDefault="00A045B6" w:rsidP="00A045B6">
      <w:pPr>
        <w:spacing w:before="100" w:beforeAutospacing="1" w:after="100" w:afterAutospacing="1"/>
        <w:rPr>
          <w:rFonts w:ascii="Cambria" w:hAnsi="Cambria"/>
        </w:rPr>
      </w:pPr>
      <w:r w:rsidRPr="00A045B6">
        <w:rPr>
          <w:rFonts w:ascii="Cambria" w:hAnsi="Cambria"/>
        </w:rPr>
        <w:t> </w:t>
      </w:r>
      <w:proofErr w:type="gramStart"/>
      <w:r w:rsidRPr="00A045B6">
        <w:rPr>
          <w:rFonts w:ascii="Cambria" w:hAnsi="Cambria"/>
          <w:b/>
          <w:bCs/>
        </w:rPr>
        <w:t>Sustainable reduction in use of phosphorus in MA cranberry.</w:t>
      </w:r>
      <w:proofErr w:type="gramEnd"/>
      <w:r w:rsidRPr="00A045B6">
        <w:rPr>
          <w:rFonts w:ascii="Cambria" w:hAnsi="Cambria"/>
          <w:b/>
          <w:bCs/>
        </w:rPr>
        <w:t xml:space="preserve">  </w:t>
      </w:r>
      <w:r w:rsidRPr="00A045B6">
        <w:rPr>
          <w:rFonts w:ascii="Cambria" w:hAnsi="Cambria"/>
        </w:rPr>
        <w:t xml:space="preserve">It has been suggested that, even when following the current Extension fertilizer recommendations, P output from MA cranberry farms may exceed environmental mandates.  To respond to this challenge, growers have been introduced to the use of low P fertilizers developed and tested by peers.  Growers were recruited to implement a P fertilizer program using 10 </w:t>
      </w:r>
      <w:proofErr w:type="spellStart"/>
      <w:r w:rsidRPr="00A045B6">
        <w:rPr>
          <w:rFonts w:ascii="Cambria" w:hAnsi="Cambria"/>
        </w:rPr>
        <w:t>lb</w:t>
      </w:r>
      <w:proofErr w:type="spellEnd"/>
      <w:r w:rsidRPr="00A045B6">
        <w:rPr>
          <w:rFonts w:ascii="Cambria" w:hAnsi="Cambria"/>
        </w:rPr>
        <w:t xml:space="preserve">/acre or less P (half the recommendation) and share the results with researchers and other growers. At the site of the earliest adopter of the reduced P program, after 7 years of an average seasonal P application of 10 </w:t>
      </w:r>
      <w:proofErr w:type="spellStart"/>
      <w:r w:rsidRPr="00A045B6">
        <w:rPr>
          <w:rFonts w:ascii="Cambria" w:hAnsi="Cambria"/>
        </w:rPr>
        <w:t>lb</w:t>
      </w:r>
      <w:proofErr w:type="spellEnd"/>
      <w:r w:rsidRPr="00A045B6">
        <w:rPr>
          <w:rFonts w:ascii="Cambria" w:hAnsi="Cambria"/>
        </w:rPr>
        <w:t>/acre, crop yields were increased (compared to prior years), P concentration in harvest floods was reduced by &gt;80%, and P concentration in winter floods was reduced by ~90%.</w:t>
      </w:r>
    </w:p>
    <w:p w:rsidR="00A045B6" w:rsidRPr="00A045B6" w:rsidRDefault="00A045B6" w:rsidP="00A045B6">
      <w:pPr>
        <w:spacing w:before="100" w:beforeAutospacing="1" w:after="100" w:afterAutospacing="1"/>
        <w:rPr>
          <w:rFonts w:ascii="Cambria" w:hAnsi="Cambria"/>
        </w:rPr>
      </w:pPr>
      <w:proofErr w:type="gramStart"/>
      <w:r w:rsidRPr="00A045B6">
        <w:rPr>
          <w:rFonts w:ascii="Cambria" w:hAnsi="Cambria"/>
          <w:b/>
          <w:bCs/>
        </w:rPr>
        <w:t xml:space="preserve">Efficacy Trials with the new insecticide, </w:t>
      </w:r>
      <w:proofErr w:type="spellStart"/>
      <w:r w:rsidRPr="00A045B6">
        <w:rPr>
          <w:rFonts w:ascii="Cambria" w:hAnsi="Cambria"/>
          <w:b/>
          <w:bCs/>
        </w:rPr>
        <w:t>Altacor</w:t>
      </w:r>
      <w:proofErr w:type="spellEnd"/>
      <w:r w:rsidRPr="00A045B6">
        <w:rPr>
          <w:rFonts w:ascii="Cambria" w:hAnsi="Cambria"/>
          <w:b/>
          <w:bCs/>
        </w:rPr>
        <w:t xml:space="preserve">, through </w:t>
      </w:r>
      <w:proofErr w:type="spellStart"/>
      <w:r w:rsidRPr="00A045B6">
        <w:rPr>
          <w:rFonts w:ascii="Cambria" w:hAnsi="Cambria"/>
          <w:b/>
          <w:bCs/>
        </w:rPr>
        <w:t>chemigation</w:t>
      </w:r>
      <w:proofErr w:type="spellEnd"/>
      <w:r w:rsidRPr="00A045B6">
        <w:rPr>
          <w:rFonts w:ascii="Cambria" w:hAnsi="Cambria"/>
          <w:b/>
          <w:bCs/>
        </w:rPr>
        <w:t>.</w:t>
      </w:r>
      <w:proofErr w:type="gramEnd"/>
      <w:r w:rsidRPr="00A045B6">
        <w:rPr>
          <w:rFonts w:ascii="Cambria" w:hAnsi="Cambria"/>
        </w:rPr>
        <w:t xml:space="preserve">  Confirmation of good efficacy of new compound through a number of </w:t>
      </w:r>
      <w:proofErr w:type="spellStart"/>
      <w:r w:rsidRPr="00A045B6">
        <w:rPr>
          <w:rFonts w:ascii="Cambria" w:hAnsi="Cambria"/>
        </w:rPr>
        <w:t>chemigation</w:t>
      </w:r>
      <w:proofErr w:type="spellEnd"/>
      <w:r w:rsidRPr="00A045B6">
        <w:rPr>
          <w:rFonts w:ascii="Cambria" w:hAnsi="Cambria"/>
        </w:rPr>
        <w:t xml:space="preserve"> systems was assessed against cranberry </w:t>
      </w:r>
      <w:proofErr w:type="spellStart"/>
      <w:r w:rsidRPr="00A045B6">
        <w:rPr>
          <w:rFonts w:ascii="Cambria" w:hAnsi="Cambria"/>
        </w:rPr>
        <w:t>fruitworm</w:t>
      </w:r>
      <w:proofErr w:type="spellEnd"/>
      <w:r w:rsidRPr="00A045B6">
        <w:rPr>
          <w:rFonts w:ascii="Cambria" w:hAnsi="Cambria"/>
        </w:rPr>
        <w:t xml:space="preserve">.  Over a dozen sites were visited and egg/berry collections were made as well as harvest damage assessments.  Heavy pressure populations with good </w:t>
      </w:r>
      <w:proofErr w:type="spellStart"/>
      <w:r w:rsidRPr="00A045B6">
        <w:rPr>
          <w:rFonts w:ascii="Cambria" w:hAnsi="Cambria"/>
        </w:rPr>
        <w:t>chemigation</w:t>
      </w:r>
      <w:proofErr w:type="spellEnd"/>
      <w:r w:rsidRPr="00A045B6">
        <w:rPr>
          <w:rFonts w:ascii="Cambria" w:hAnsi="Cambria"/>
        </w:rPr>
        <w:t xml:space="preserve"> systems were managed with the new compound.  Results will result in transition from organophosphate insecticides to "bee-friendly" compound</w:t>
      </w:r>
      <w:r w:rsidR="003A0912">
        <w:rPr>
          <w:rFonts w:ascii="Cambria" w:hAnsi="Cambria"/>
        </w:rPr>
        <w:t>s</w:t>
      </w:r>
      <w:r w:rsidRPr="00A045B6">
        <w:rPr>
          <w:rFonts w:ascii="Cambria" w:hAnsi="Cambria"/>
        </w:rPr>
        <w:t> applied during late bloom </w:t>
      </w:r>
      <w:r w:rsidR="003A0912">
        <w:rPr>
          <w:rFonts w:ascii="Cambria" w:hAnsi="Cambria"/>
        </w:rPr>
        <w:t xml:space="preserve">to manage the primary cranberry </w:t>
      </w:r>
      <w:r w:rsidRPr="00A045B6">
        <w:rPr>
          <w:rFonts w:ascii="Cambria" w:hAnsi="Cambria"/>
        </w:rPr>
        <w:t>pest.</w:t>
      </w:r>
    </w:p>
    <w:p w:rsidR="00A045B6" w:rsidRPr="004D1FB1" w:rsidRDefault="00A045B6" w:rsidP="004D1FB1">
      <w:pPr>
        <w:pStyle w:val="Heading2"/>
        <w:rPr>
          <w:rFonts w:ascii="Cambria" w:hAnsi="Cambria"/>
          <w:color w:val="auto"/>
          <w:sz w:val="24"/>
          <w:szCs w:val="24"/>
          <w:u w:val="single"/>
        </w:rPr>
      </w:pPr>
      <w:bookmarkStart w:id="0" w:name="_GoBack"/>
      <w:bookmarkEnd w:id="0"/>
    </w:p>
    <w:p w:rsidR="004D1FB1" w:rsidRPr="004D1FB1" w:rsidRDefault="004D1FB1" w:rsidP="004D1FB1">
      <w:pPr>
        <w:rPr>
          <w:rFonts w:ascii="Cambria" w:hAnsi="Cambria"/>
        </w:rPr>
      </w:pPr>
    </w:p>
    <w:p w:rsidR="004D1FB1" w:rsidRPr="004D1FB1" w:rsidRDefault="004D1FB1" w:rsidP="004D1FB1">
      <w:pPr>
        <w:pStyle w:val="Heading3"/>
        <w:spacing w:line="312" w:lineRule="auto"/>
        <w:rPr>
          <w:rFonts w:ascii="Cambria" w:hAnsi="Cambria"/>
          <w:color w:val="auto"/>
          <w:sz w:val="24"/>
          <w:szCs w:val="24"/>
          <w:u w:val="single"/>
        </w:rPr>
      </w:pPr>
      <w:r w:rsidRPr="004D1FB1">
        <w:rPr>
          <w:rFonts w:ascii="Cambria" w:hAnsi="Cambria"/>
          <w:color w:val="auto"/>
          <w:sz w:val="24"/>
          <w:szCs w:val="24"/>
          <w:u w:val="single"/>
        </w:rPr>
        <w:t xml:space="preserve">Collaborating Organizations </w:t>
      </w:r>
    </w:p>
    <w:p w:rsidR="00A1676A" w:rsidRDefault="00A1676A" w:rsidP="00A1676A">
      <w:pPr>
        <w:tabs>
          <w:tab w:val="left" w:pos="90"/>
        </w:tabs>
        <w:ind w:left="180"/>
      </w:pPr>
    </w:p>
    <w:p w:rsidR="00A045B6" w:rsidRPr="00A045B6" w:rsidRDefault="00A045B6" w:rsidP="00A045B6">
      <w:pPr>
        <w:pStyle w:val="Heading3"/>
        <w:numPr>
          <w:ilvl w:val="0"/>
          <w:numId w:val="4"/>
        </w:numPr>
        <w:rPr>
          <w:rFonts w:ascii="Cambria" w:hAnsi="Cambria"/>
          <w:b w:val="0"/>
          <w:color w:val="auto"/>
          <w:sz w:val="24"/>
          <w:szCs w:val="24"/>
        </w:rPr>
      </w:pPr>
      <w:r w:rsidRPr="00A045B6">
        <w:rPr>
          <w:rFonts w:ascii="Cambria" w:hAnsi="Cambria"/>
          <w:b w:val="0"/>
          <w:color w:val="auto"/>
          <w:sz w:val="24"/>
          <w:szCs w:val="24"/>
        </w:rPr>
        <w:t>Cape Cod Cranberry Growers Association</w:t>
      </w:r>
    </w:p>
    <w:p w:rsidR="00A045B6" w:rsidRPr="00A045B6" w:rsidRDefault="00A045B6" w:rsidP="00A045B6">
      <w:pPr>
        <w:pStyle w:val="Heading3"/>
        <w:numPr>
          <w:ilvl w:val="0"/>
          <w:numId w:val="4"/>
        </w:numPr>
        <w:rPr>
          <w:rFonts w:ascii="Cambria" w:hAnsi="Cambria"/>
          <w:b w:val="0"/>
          <w:color w:val="auto"/>
          <w:sz w:val="24"/>
          <w:szCs w:val="24"/>
        </w:rPr>
      </w:pPr>
      <w:r w:rsidRPr="00A045B6">
        <w:rPr>
          <w:rFonts w:ascii="Cambria" w:hAnsi="Cambria"/>
          <w:b w:val="0"/>
          <w:color w:val="auto"/>
          <w:sz w:val="24"/>
          <w:szCs w:val="24"/>
        </w:rPr>
        <w:t>Cranberry Institute</w:t>
      </w:r>
    </w:p>
    <w:p w:rsidR="00A1676A" w:rsidRPr="00E86676" w:rsidRDefault="00A1676A" w:rsidP="00A1676A">
      <w:pPr>
        <w:ind w:left="180"/>
      </w:pPr>
    </w:p>
    <w:sectPr w:rsidR="00A1676A" w:rsidRPr="00E86676" w:rsidSect="00A1676A">
      <w:headerReference w:type="first" r:id="rId8"/>
      <w:footerReference w:type="first" r:id="rId9"/>
      <w:pgSz w:w="12240" w:h="15840" w:code="1"/>
      <w:pgMar w:top="720" w:right="720" w:bottom="72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5B6" w:rsidRDefault="00A045B6">
      <w:r>
        <w:separator/>
      </w:r>
    </w:p>
  </w:endnote>
  <w:endnote w:type="continuationSeparator" w:id="0">
    <w:p w:rsidR="00A045B6" w:rsidRDefault="00A04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abon LT Std">
    <w:panose1 w:val="00000000000000000000"/>
    <w:charset w:val="00"/>
    <w:family w:val="auto"/>
    <w:notTrueType/>
    <w:pitch w:val="variable"/>
    <w:sig w:usb0="00000003" w:usb1="00000000" w:usb2="00000000" w:usb3="00000000" w:csb0="00000001" w:csb1="00000000"/>
  </w:font>
  <w:font w:name="Sabo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76A" w:rsidRDefault="00A1676A" w:rsidP="00A1676A">
    <w:pPr>
      <w:pStyle w:val="Footer"/>
      <w:jc w:val="center"/>
      <w:rPr>
        <w:rFonts w:ascii="Sabon" w:hAnsi="Sabon"/>
        <w:sz w:val="14"/>
      </w:rPr>
    </w:pPr>
  </w:p>
  <w:p w:rsidR="00A1676A" w:rsidRPr="0052214E" w:rsidRDefault="00A1676A" w:rsidP="00A1676A">
    <w:pPr>
      <w:pStyle w:val="Footer"/>
      <w:jc w:val="center"/>
      <w:rPr>
        <w:rFonts w:ascii="Sabon" w:hAnsi="Sabon"/>
        <w:sz w:val="14"/>
        <w:szCs w:val="14"/>
      </w:rPr>
    </w:pPr>
    <w:r>
      <w:rPr>
        <w:rFonts w:ascii="Sabon" w:hAnsi="Sabon"/>
        <w:sz w:val="14"/>
      </w:rPr>
      <w:t>The Center for Agriculture</w:t>
    </w:r>
    <w:r w:rsidRPr="0052214E">
      <w:rPr>
        <w:rFonts w:ascii="Sabon" w:hAnsi="Sabon"/>
        <w:sz w:val="14"/>
      </w:rPr>
      <w:t xml:space="preserve"> is an equal opportunity provider and employer, United States Department of Agriculture cooperating</w:t>
    </w:r>
  </w:p>
  <w:p w:rsidR="00A1676A" w:rsidRDefault="00A167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5B6" w:rsidRDefault="00A045B6">
      <w:r>
        <w:separator/>
      </w:r>
    </w:p>
  </w:footnote>
  <w:footnote w:type="continuationSeparator" w:id="0">
    <w:p w:rsidR="00A045B6" w:rsidRDefault="00A045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76A" w:rsidRDefault="00A1676A" w:rsidP="00A1676A">
    <w:pPr>
      <w:rPr>
        <w:rFonts w:ascii="Sabon LT Std" w:hAnsi="Sabon LT Std"/>
        <w:sz w:val="18"/>
      </w:rPr>
    </w:pPr>
  </w:p>
  <w:p w:rsidR="00A1676A" w:rsidRDefault="003A0912" w:rsidP="00A1676A">
    <w:pPr>
      <w:rPr>
        <w:rFonts w:ascii="Sabon LT Std" w:hAnsi="Sabon LT Std"/>
        <w:sz w:val="18"/>
      </w:rPr>
    </w:pPr>
    <w:r>
      <w:rPr>
        <w:noProof/>
      </w:rPr>
      <w:pict>
        <v:shapetype id="_x0000_t202" coordsize="21600,21600" o:spt="202" path="m,l,21600r21600,l21600,xe">
          <v:stroke joinstyle="miter"/>
          <v:path gradientshapeok="t" o:connecttype="rect"/>
        </v:shapetype>
        <v:shape id="_x0000_s2056" type="#_x0000_t202" style="position:absolute;margin-left:-1pt;margin-top:3.2pt;width:190.7pt;height:81.6pt;z-index:251657728" filled="f" stroked="f">
          <v:fill o:detectmouseclick="t"/>
          <v:textbox style="mso-next-textbox:#_x0000_s2056" inset=",7.2pt,,7.2pt">
            <w:txbxContent>
              <w:p w:rsidR="00A1676A" w:rsidRDefault="003A0912">
                <w:r>
                  <w:rPr>
                    <w:rFonts w:ascii="Sabon LT Std" w:hAnsi="Sabon LT Std"/>
                    <w:sz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5pt;height:64.5pt">
                      <v:imagedata r:id="rId1" o:title="CFA_logo_A_2c"/>
                    </v:shape>
                  </w:pict>
                </w:r>
              </w:p>
            </w:txbxContent>
          </v:textbox>
          <w10:wrap type="square"/>
        </v:shape>
      </w:pict>
    </w:r>
  </w:p>
  <w:p w:rsidR="00A1676A" w:rsidRDefault="00A1676A" w:rsidP="00A1676A">
    <w:pPr>
      <w:ind w:left="7920"/>
      <w:rPr>
        <w:rFonts w:ascii="Sabon LT Std" w:hAnsi="Sabon LT Std"/>
        <w:sz w:val="18"/>
      </w:rPr>
    </w:pPr>
    <w:r>
      <w:rPr>
        <w:rFonts w:ascii="Sabon LT Std" w:hAnsi="Sabon LT Std"/>
        <w:sz w:val="18"/>
      </w:rPr>
      <w:t>Stockbridge Hall</w:t>
    </w:r>
  </w:p>
  <w:p w:rsidR="00A1676A" w:rsidRDefault="00A1676A" w:rsidP="00A1676A">
    <w:pPr>
      <w:ind w:left="7920"/>
      <w:rPr>
        <w:rFonts w:ascii="Sabon LT Std" w:hAnsi="Sabon LT Std"/>
        <w:sz w:val="18"/>
      </w:rPr>
    </w:pPr>
    <w:r>
      <w:rPr>
        <w:rFonts w:ascii="Sabon LT Std" w:hAnsi="Sabon LT Std"/>
        <w:sz w:val="18"/>
      </w:rPr>
      <w:t>University of Massachusetts</w:t>
    </w:r>
  </w:p>
  <w:p w:rsidR="00A1676A" w:rsidRPr="00AC7EF5" w:rsidRDefault="00A1676A" w:rsidP="00A1676A">
    <w:pPr>
      <w:ind w:left="7920"/>
      <w:rPr>
        <w:rFonts w:ascii="Sabon LT Std" w:hAnsi="Sabon LT Std"/>
        <w:sz w:val="18"/>
      </w:rPr>
    </w:pPr>
    <w:r>
      <w:rPr>
        <w:rFonts w:ascii="Sabon LT Std" w:hAnsi="Sabon LT Std"/>
        <w:sz w:val="18"/>
      </w:rPr>
      <w:t>80 Campus Center Way</w:t>
    </w:r>
  </w:p>
  <w:p w:rsidR="00A1676A" w:rsidRDefault="00A1676A" w:rsidP="00A1676A">
    <w:pPr>
      <w:ind w:left="7920"/>
      <w:rPr>
        <w:rFonts w:ascii="Sabon LT Std" w:hAnsi="Sabon LT Std"/>
        <w:sz w:val="18"/>
      </w:rPr>
    </w:pPr>
    <w:r>
      <w:rPr>
        <w:rFonts w:ascii="Sabon LT Std" w:hAnsi="Sabon LT Std"/>
        <w:sz w:val="18"/>
      </w:rPr>
      <w:t>Amherst</w:t>
    </w:r>
    <w:r w:rsidRPr="00F63DE0">
      <w:rPr>
        <w:rFonts w:ascii="Sabon LT Std" w:hAnsi="Sabon LT Std"/>
        <w:sz w:val="18"/>
      </w:rPr>
      <w:t xml:space="preserve">, MA </w:t>
    </w:r>
    <w:r>
      <w:rPr>
        <w:rFonts w:ascii="Sabon LT Std" w:hAnsi="Sabon LT Std"/>
        <w:sz w:val="18"/>
      </w:rPr>
      <w:t>01003-9246</w:t>
    </w:r>
  </w:p>
  <w:p w:rsidR="00A1676A" w:rsidRPr="00AC7EF5" w:rsidRDefault="00A1676A" w:rsidP="00A1676A">
    <w:pPr>
      <w:ind w:left="7920"/>
      <w:rPr>
        <w:rFonts w:ascii="Sabon LT Std" w:hAnsi="Sabon LT Std"/>
        <w:sz w:val="18"/>
      </w:rPr>
    </w:pPr>
    <w:r w:rsidRPr="00AC7EF5">
      <w:rPr>
        <w:rFonts w:ascii="Sabon LT Std" w:hAnsi="Sabon LT Std"/>
        <w:sz w:val="18"/>
      </w:rPr>
      <w:t xml:space="preserve">Phone: </w:t>
    </w:r>
    <w:r>
      <w:rPr>
        <w:rFonts w:ascii="Sabon LT Std" w:hAnsi="Sabon LT Std"/>
        <w:sz w:val="18"/>
      </w:rPr>
      <w:t>413.545.4204</w:t>
    </w:r>
  </w:p>
  <w:p w:rsidR="00A1676A" w:rsidRPr="00AC7EF5" w:rsidRDefault="00A1676A" w:rsidP="00A1676A">
    <w:pPr>
      <w:ind w:left="7920"/>
      <w:rPr>
        <w:rFonts w:ascii="Sabon LT Std" w:hAnsi="Sabon LT Std"/>
        <w:sz w:val="18"/>
      </w:rPr>
    </w:pPr>
    <w:r w:rsidRPr="00AC7EF5">
      <w:rPr>
        <w:rFonts w:ascii="Sabon LT Std" w:hAnsi="Sabon LT Std"/>
        <w:sz w:val="18"/>
      </w:rPr>
      <w:t xml:space="preserve">Fax: </w:t>
    </w:r>
    <w:r>
      <w:rPr>
        <w:rFonts w:ascii="Sabon LT Std" w:hAnsi="Sabon LT Std"/>
        <w:sz w:val="18"/>
      </w:rPr>
      <w:t>413.577.0242</w:t>
    </w:r>
  </w:p>
  <w:p w:rsidR="00A1676A" w:rsidRDefault="00A1676A" w:rsidP="00A1676A">
    <w:pPr>
      <w:ind w:left="7920"/>
      <w:rPr>
        <w:rFonts w:ascii="Sabon" w:hAnsi="Sabon"/>
        <w:sz w:val="18"/>
      </w:rPr>
    </w:pPr>
    <w:r w:rsidRPr="00630083">
      <w:rPr>
        <w:rFonts w:ascii="Sabon" w:hAnsi="Sabon"/>
        <w:sz w:val="18"/>
      </w:rPr>
      <w:t>www.</w:t>
    </w:r>
    <w:r>
      <w:rPr>
        <w:rFonts w:ascii="Sabon" w:hAnsi="Sabon"/>
        <w:sz w:val="18"/>
      </w:rPr>
      <w:t>ag.umass.edu</w:t>
    </w:r>
  </w:p>
  <w:p w:rsidR="00A1676A" w:rsidRPr="00F63DE0" w:rsidRDefault="00A1676A" w:rsidP="00A1676A">
    <w:pPr>
      <w:ind w:left="6840"/>
      <w:rPr>
        <w:rFonts w:ascii="Sabon LT Std" w:hAnsi="Sabon LT Std"/>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47AA6"/>
    <w:multiLevelType w:val="hybridMultilevel"/>
    <w:tmpl w:val="07DA89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1FC6BE0"/>
    <w:multiLevelType w:val="hybridMultilevel"/>
    <w:tmpl w:val="35207B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3F6604"/>
    <w:multiLevelType w:val="hybridMultilevel"/>
    <w:tmpl w:val="03F63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66342927"/>
    <w:multiLevelType w:val="hybridMultilevel"/>
    <w:tmpl w:val="CB58AB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rawingGridHorizontalSpacing w:val="187"/>
  <w:drawingGridVerticalSpacing w:val="187"/>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45B6"/>
    <w:rsid w:val="00075160"/>
    <w:rsid w:val="000834C9"/>
    <w:rsid w:val="001C0F11"/>
    <w:rsid w:val="00357B75"/>
    <w:rsid w:val="003A0912"/>
    <w:rsid w:val="003C7469"/>
    <w:rsid w:val="004D1FB1"/>
    <w:rsid w:val="00600AB9"/>
    <w:rsid w:val="0061437F"/>
    <w:rsid w:val="00696DAB"/>
    <w:rsid w:val="00907874"/>
    <w:rsid w:val="00921064"/>
    <w:rsid w:val="00A045B6"/>
    <w:rsid w:val="00A1676A"/>
    <w:rsid w:val="00A60217"/>
    <w:rsid w:val="00AC4234"/>
    <w:rsid w:val="00B1455D"/>
    <w:rsid w:val="00B2111B"/>
    <w:rsid w:val="00DD5201"/>
    <w:rsid w:val="00E806F3"/>
    <w:rsid w:val="00F1624C"/>
    <w:rsid w:val="00FA452B"/>
    <w:rsid w:val="00FF6F5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sz w:val="24"/>
      <w:szCs w:val="24"/>
    </w:rPr>
  </w:style>
  <w:style w:type="paragraph" w:styleId="Heading2">
    <w:name w:val="heading 2"/>
    <w:basedOn w:val="Normal"/>
    <w:link w:val="Heading2Char"/>
    <w:qFormat/>
    <w:rsid w:val="004D1FB1"/>
    <w:pPr>
      <w:spacing w:before="100" w:beforeAutospacing="1" w:after="100" w:afterAutospacing="1" w:line="288" w:lineRule="atLeast"/>
      <w:outlineLvl w:val="1"/>
    </w:pPr>
    <w:rPr>
      <w:rFonts w:ascii="Arial" w:hAnsi="Arial" w:cs="Arial"/>
      <w:b/>
      <w:bCs/>
      <w:color w:val="650000"/>
      <w:sz w:val="34"/>
      <w:szCs w:val="34"/>
    </w:rPr>
  </w:style>
  <w:style w:type="paragraph" w:styleId="Heading3">
    <w:name w:val="heading 3"/>
    <w:basedOn w:val="Normal"/>
    <w:link w:val="Heading3Char"/>
    <w:qFormat/>
    <w:rsid w:val="004D1FB1"/>
    <w:pPr>
      <w:outlineLvl w:val="2"/>
    </w:pPr>
    <w:rPr>
      <w:rFonts w:ascii="Arial" w:hAnsi="Arial" w:cs="Arial"/>
      <w:b/>
      <w:bCs/>
      <w:color w:val="65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86676"/>
    <w:pPr>
      <w:tabs>
        <w:tab w:val="center" w:pos="4320"/>
        <w:tab w:val="right" w:pos="8640"/>
      </w:tabs>
    </w:pPr>
  </w:style>
  <w:style w:type="paragraph" w:styleId="Footer">
    <w:name w:val="footer"/>
    <w:basedOn w:val="Normal"/>
    <w:link w:val="FooterChar"/>
    <w:rsid w:val="00E86676"/>
    <w:pPr>
      <w:tabs>
        <w:tab w:val="center" w:pos="4320"/>
        <w:tab w:val="right" w:pos="8640"/>
      </w:tabs>
    </w:pPr>
  </w:style>
  <w:style w:type="character" w:styleId="Hyperlink">
    <w:name w:val="Hyperlink"/>
    <w:rsid w:val="00F63DE0"/>
    <w:rPr>
      <w:color w:val="0000FF"/>
      <w:u w:val="single"/>
    </w:rPr>
  </w:style>
  <w:style w:type="character" w:customStyle="1" w:styleId="FooterChar">
    <w:name w:val="Footer Char"/>
    <w:link w:val="Footer"/>
    <w:rsid w:val="00533D8D"/>
    <w:rPr>
      <w:sz w:val="24"/>
      <w:szCs w:val="24"/>
    </w:rPr>
  </w:style>
  <w:style w:type="character" w:customStyle="1" w:styleId="Heading2Char">
    <w:name w:val="Heading 2 Char"/>
    <w:link w:val="Heading2"/>
    <w:rsid w:val="004D1FB1"/>
    <w:rPr>
      <w:rFonts w:ascii="Arial" w:hAnsi="Arial" w:cs="Arial"/>
      <w:b/>
      <w:bCs/>
      <w:color w:val="650000"/>
      <w:sz w:val="34"/>
      <w:szCs w:val="34"/>
    </w:rPr>
  </w:style>
  <w:style w:type="character" w:customStyle="1" w:styleId="Heading3Char">
    <w:name w:val="Heading 3 Char"/>
    <w:link w:val="Heading3"/>
    <w:rsid w:val="004D1FB1"/>
    <w:rPr>
      <w:rFonts w:ascii="Arial" w:hAnsi="Arial" w:cs="Arial"/>
      <w:b/>
      <w:bCs/>
      <w:color w:val="650000"/>
      <w:sz w:val="29"/>
      <w:szCs w:val="29"/>
    </w:rPr>
  </w:style>
  <w:style w:type="character" w:styleId="Strong">
    <w:name w:val="Strong"/>
    <w:uiPriority w:val="22"/>
    <w:qFormat/>
    <w:rsid w:val="004D1FB1"/>
    <w:rPr>
      <w:b/>
      <w:bCs/>
    </w:rPr>
  </w:style>
  <w:style w:type="paragraph" w:styleId="ListParagraph">
    <w:name w:val="List Paragraph"/>
    <w:basedOn w:val="Normal"/>
    <w:uiPriority w:val="34"/>
    <w:qFormat/>
    <w:rsid w:val="00A045B6"/>
    <w:pPr>
      <w:ind w:left="720"/>
      <w:contextualSpacing/>
    </w:pPr>
    <w:rPr>
      <w:rFonts w:ascii="Verdana" w:hAnsi="Verdana"/>
      <w:sz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95626">
      <w:bodyDiv w:val="1"/>
      <w:marLeft w:val="0"/>
      <w:marRight w:val="0"/>
      <w:marTop w:val="0"/>
      <w:marBottom w:val="0"/>
      <w:divBdr>
        <w:top w:val="none" w:sz="0" w:space="0" w:color="auto"/>
        <w:left w:val="none" w:sz="0" w:space="0" w:color="auto"/>
        <w:bottom w:val="none" w:sz="0" w:space="0" w:color="auto"/>
        <w:right w:val="none" w:sz="0" w:space="0" w:color="auto"/>
      </w:divBdr>
    </w:div>
    <w:div w:id="882524666">
      <w:bodyDiv w:val="1"/>
      <w:marLeft w:val="0"/>
      <w:marRight w:val="0"/>
      <w:marTop w:val="0"/>
      <w:marBottom w:val="0"/>
      <w:divBdr>
        <w:top w:val="none" w:sz="0" w:space="0" w:color="auto"/>
        <w:left w:val="none" w:sz="0" w:space="0" w:color="auto"/>
        <w:bottom w:val="none" w:sz="0" w:space="0" w:color="auto"/>
        <w:right w:val="none" w:sz="0" w:space="0" w:color="auto"/>
      </w:divBdr>
    </w:div>
    <w:div w:id="1410274264">
      <w:bodyDiv w:val="1"/>
      <w:marLeft w:val="0"/>
      <w:marRight w:val="0"/>
      <w:marTop w:val="0"/>
      <w:marBottom w:val="0"/>
      <w:divBdr>
        <w:top w:val="none" w:sz="0" w:space="0" w:color="auto"/>
        <w:left w:val="none" w:sz="0" w:space="0" w:color="auto"/>
        <w:bottom w:val="none" w:sz="0" w:space="0" w:color="auto"/>
        <w:right w:val="none" w:sz="0" w:space="0" w:color="auto"/>
      </w:divBdr>
    </w:div>
    <w:div w:id="1625456016">
      <w:bodyDiv w:val="1"/>
      <w:marLeft w:val="0"/>
      <w:marRight w:val="0"/>
      <w:marTop w:val="0"/>
      <w:marBottom w:val="0"/>
      <w:divBdr>
        <w:top w:val="none" w:sz="0" w:space="0" w:color="auto"/>
        <w:left w:val="none" w:sz="0" w:space="0" w:color="auto"/>
        <w:bottom w:val="none" w:sz="0" w:space="0" w:color="auto"/>
        <w:right w:val="none" w:sz="0" w:space="0" w:color="auto"/>
      </w:divBdr>
    </w:div>
    <w:div w:id="2028217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Extension\PLANNING%20&amp;%20REPORTING\PRiSM\FY%2012%20Reports\Final\repo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report template</Template>
  <TotalTime>0</TotalTime>
  <Pages>3</Pages>
  <Words>836</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Amherst, MA 01003</Company>
  <LinksUpToDate>false</LinksUpToDate>
  <CharactersWithSpaces>5591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Miller</dc:creator>
  <cp:lastModifiedBy>William Miller</cp:lastModifiedBy>
  <cp:revision>2</cp:revision>
  <cp:lastPrinted>2010-05-26T22:29:00Z</cp:lastPrinted>
  <dcterms:created xsi:type="dcterms:W3CDTF">2013-02-25T18:51:00Z</dcterms:created>
  <dcterms:modified xsi:type="dcterms:W3CDTF">2013-02-25T18:51:00Z</dcterms:modified>
</cp:coreProperties>
</file>